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1B4F46"/>
            <w:tcMar>
              <w:top w:w="210" w:type="dxa"/>
              <w:start w:w="240" w:type="dxa"/>
              <w:bottom w:w="220" w:type="dxa"/>
              <w:end w:w="24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8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40"/>
              </w:rPr>
              <w:t>Tier 3 High-Risk and School Re-Entry Protocol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DDE9E5"/>
                <w:sz w:val="24"/>
              </w:rPr>
              <w:t>Coordinated Student Support System | Individualized Transition Framework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EEF6F3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Purpose: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Provides the administrative framework for managing complex, persistent, or intensive student needs that stretch beyond routine Tier 2 options.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FBF5E6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Safety Firewall: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If a student concern involves an active crisis, self-harm, threat to others, abuse disclosure, or immediate danger, teams bypass routine tracks instantly and activate District Emergency Safety Procedures.</w:t>
            </w:r>
          </w:p>
        </w:tc>
      </w:tr>
    </w:tbl>
    <w:p/>
    <w:p>
      <w:pPr>
        <w:pStyle w:val="Heading1"/>
      </w:pPr>
      <w:r>
        <w:t>When Tier 3 Is Used</w:t>
      </w:r>
    </w:p>
    <w:p>
      <w:r>
        <w:t>Tier 3 is used when student needs are persistent, complex, high-risk, or require individualized coordination beyond routine Tier 2 supports. The purpose is to create a coordinated support plan that protects student safety, maintains school connection, and clarifies adult roles.</w:t>
      </w:r>
    </w:p>
    <w:p>
      <w:pPr>
        <w:pStyle w:val="Heading1"/>
      </w:pPr>
      <w:r>
        <w:t>Who Should Be Involved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3024"/>
        <w:gridCol w:w="6840"/>
      </w:tblGrid>
      <w:tr>
        <w:tc>
          <w:tcPr>
            <w:tcW w:type="dxa" w:w="302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Role</w:t>
            </w:r>
          </w:p>
        </w:tc>
        <w:tc>
          <w:tcPr>
            <w:tcW w:type="dxa" w:w="684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Contribution</w:t>
            </w:r>
          </w:p>
        </w:tc>
      </w:tr>
      <w:tr>
        <w:tc>
          <w:tcPr>
            <w:tcW w:type="dxa" w:w="302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Building administrator</w:t>
            </w:r>
          </w:p>
        </w:tc>
        <w:tc>
          <w:tcPr>
            <w:tcW w:type="dxa" w:w="684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Coordinates school-level decisions, scheduling, safety expectations, and resource needs.</w:t>
            </w:r>
          </w:p>
        </w:tc>
      </w:tr>
      <w:tr>
        <w:tc>
          <w:tcPr>
            <w:tcW w:type="dxa" w:w="302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Counselor / specialist</w:t>
            </w:r>
          </w:p>
        </w:tc>
        <w:tc>
          <w:tcPr>
            <w:tcW w:type="dxa" w:w="684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Guides student regulation, mental health considerations, trauma-informed support, and family communication.</w:t>
            </w:r>
          </w:p>
        </w:tc>
      </w:tr>
      <w:tr>
        <w:tc>
          <w:tcPr>
            <w:tcW w:type="dxa" w:w="302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Family / guardian</w:t>
            </w:r>
          </w:p>
        </w:tc>
        <w:tc>
          <w:tcPr>
            <w:tcW w:type="dxa" w:w="684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Provides essential context, consent, input, and partnership in the student's support plan.</w:t>
            </w:r>
          </w:p>
        </w:tc>
      </w:tr>
      <w:tr>
        <w:tc>
          <w:tcPr>
            <w:tcW w:type="dxa" w:w="302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Trusted staff member</w:t>
            </w:r>
          </w:p>
        </w:tc>
        <w:tc>
          <w:tcPr>
            <w:tcW w:type="dxa" w:w="684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Serves as a relational anchor or safe adult when appropriate.</w:t>
            </w:r>
          </w:p>
        </w:tc>
      </w:tr>
      <w:tr>
        <w:tc>
          <w:tcPr>
            <w:tcW w:type="dxa" w:w="302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Outside partner, if authorized</w:t>
            </w:r>
          </w:p>
        </w:tc>
        <w:tc>
          <w:tcPr>
            <w:tcW w:type="dxa" w:w="684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Participates only when the district-required Release of Information or consent process is completed.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FBF5E6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Privacy and Consent Boundary: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When outside partners are involved, student information should not be shared until the district-required Release of Information or consent process is completed and on file.</w:t>
            </w:r>
          </w:p>
        </w:tc>
      </w:tr>
    </w:tbl>
    <w:p/>
    <w:p>
      <w:pPr>
        <w:pStyle w:val="Heading1"/>
      </w:pPr>
      <w:r>
        <w:t>The Unified Re-Entry Checklist</w:t>
      </w:r>
    </w:p>
    <w:p>
      <w:r>
        <w:t>When a student returns from a major absence, such as medical care, crisis absence, or disciplinary transition, leadership coordinates a soft landing using the four structured steps below.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2376"/>
        <w:gridCol w:w="4680"/>
        <w:gridCol w:w="2808"/>
      </w:tblGrid>
      <w:tr>
        <w:tc>
          <w:tcPr>
            <w:tcW w:type="dxa" w:w="2376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Protocol Step</w:t>
            </w:r>
          </w:p>
        </w:tc>
        <w:tc>
          <w:tcPr>
            <w:tcW w:type="dxa" w:w="468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Core Administrative Action</w:t>
            </w:r>
          </w:p>
        </w:tc>
        <w:tc>
          <w:tcPr>
            <w:tcW w:type="dxa" w:w="2808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Family and Student Support Purpose</w:t>
            </w:r>
          </w:p>
        </w:tc>
      </w:tr>
      <w:tr>
        <w:tc>
          <w:tcPr>
            <w:tcW w:type="dxa" w:w="237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1. Pre-return welcome</w:t>
            </w:r>
          </w:p>
        </w:tc>
        <w:tc>
          <w:tcPr>
            <w:tcW w:type="dxa" w:w="46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Hold a private, supportive planning meeting with the student, family, counselor, and administrator.</w:t>
            </w:r>
          </w:p>
        </w:tc>
        <w:tc>
          <w:tcPr>
            <w:tcW w:type="dxa" w:w="280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Re-establish belonging and coordinate a predictable school-home safety net.</w:t>
            </w:r>
          </w:p>
        </w:tc>
      </w:tr>
      <w:tr>
        <w:tc>
          <w:tcPr>
            <w:tcW w:type="dxa" w:w="237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2. Academic rescaling</w:t>
            </w:r>
          </w:p>
        </w:tc>
        <w:tc>
          <w:tcPr>
            <w:tcW w:type="dxa" w:w="46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Re-stabilize academic workloads. Waive non-essential back assignments when appropriate and prioritize core essential standards.</w:t>
            </w:r>
          </w:p>
        </w:tc>
        <w:tc>
          <w:tcPr>
            <w:tcW w:type="dxa" w:w="280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Minimize overwhelming academic backlogs that can trigger stress, anxiety, avoidance, or school refusal.</w:t>
            </w:r>
          </w:p>
        </w:tc>
      </w:tr>
      <w:tr>
        <w:tc>
          <w:tcPr>
            <w:tcW w:type="dxa" w:w="237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3. Decompression anchors</w:t>
            </w:r>
          </w:p>
        </w:tc>
        <w:tc>
          <w:tcPr>
            <w:tcW w:type="dxa" w:w="46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Identify a specific trusted adult and a safe location where the student can self-refer if they begin to feel overwhelmed.</w:t>
            </w:r>
          </w:p>
        </w:tc>
        <w:tc>
          <w:tcPr>
            <w:tcW w:type="dxa" w:w="280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Provide an immediate support option to help prevent visible behavioral escalation in class.</w:t>
            </w:r>
          </w:p>
        </w:tc>
      </w:tr>
      <w:tr>
        <w:tc>
          <w:tcPr>
            <w:tcW w:type="dxa" w:w="237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4. Rapid monitoring</w:t>
            </w:r>
          </w:p>
        </w:tc>
        <w:tc>
          <w:tcPr>
            <w:tcW w:type="dxa" w:w="46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Re-convene the support team five school days after return, or within the district's expected review window, to evaluate plan stability.</w:t>
            </w:r>
          </w:p>
        </w:tc>
        <w:tc>
          <w:tcPr>
            <w:tcW w:type="dxa" w:w="280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Review how the transition plan is holding up and make immediate adjustments if gaps appear.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EEF6F3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Documentation Link: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Use the Tier 3 planning form to document the individualized plan, assigned roles, follow-up date, privacy verification, partner coordination, and re-entry supports.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08" w:right="1037" w:bottom="1008" w:left="1037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color w:val="4A5568"/>
        <w:sz w:val="19"/>
      </w:rPr>
      <w:t>The Blueprint Institute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/>
        <w:b w:val="0"/>
        <w:i w:val="0"/>
        <w:color w:val="4A5568"/>
        <w:sz w:val="19"/>
      </w:rPr>
      <w:t>Building Guide | Tier 3 High-Risk and Re-Entry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Times New Roman" w:hAnsi="Times New Roman"/>
      <w:color w:val="1E2A3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B4F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Georgia" w:hAnsi="Georgia"/>
      <w:b/>
      <w:bCs/>
      <w:color w:val="0E224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Georgia" w:hAnsi="Georgia"/>
      <w:b/>
      <w:bCs/>
      <w:color w:val="0E2243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