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Mar>
              <w:top w:w="210" w:type="dxa"/>
              <w:start w:w="240" w:type="dxa"/>
              <w:bottom w:w="220" w:type="dxa"/>
              <w:end w:w="240" w:type="dxa"/>
            </w:tcMar>
            <w:tcBorders>
              <w:top w:val="nil" w:sz="0" w:space="0" w:color="auto"/>
              <w:bottom w:val="nil" w:sz="0" w:space="0" w:color="auto"/>
              <w:left w:val="single" w:sz="6" w:space="0" w:color="DDE9E5"/>
              <w:right w:val="single" w:sz="6" w:space="0" w:color="DDE9E5"/>
            </w:tcBorders>
          </w:tcPr>
          <w:p>
            <w:pPr>
              <w:spacing w:after="80"/>
              <w:jc w:val="center"/>
            </w:pPr>
            <w:r>
              <w:rPr>
                <w:rFonts w:ascii="Georgia" w:hAnsi="Georgia"/>
                <w:b/>
                <w:i w:val="0"/>
                <w:color w:val="FFFFFF"/>
                <w:sz w:val="40"/>
              </w:rPr>
              <w:t>Tier 2 Operational Flow and Targeted Support Menu</w:t>
            </w:r>
          </w:p>
          <w:p>
            <w:pPr>
              <w:jc w:val="center"/>
            </w:pPr>
            <w:r>
              <w:rPr>
                <w:rFonts w:ascii="Times New Roman" w:hAnsi="Times New Roman"/>
                <w:b/>
                <w:i w:val="0"/>
                <w:color w:val="DDE9E5"/>
                <w:sz w:val="24"/>
              </w:rPr>
              <w:t>Coordinated Student Support System | Implementation Roadmap</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Purpose: </w:t>
            </w:r>
            <w:r>
              <w:rPr>
                <w:rFonts w:ascii="Times New Roman" w:hAnsi="Times New Roman"/>
                <w:b w:val="0"/>
                <w:i w:val="0"/>
                <w:color w:val="1E2A3A"/>
                <w:sz w:val="24"/>
              </w:rPr>
              <w:t>This guide helps the weekly Student Support Team run efficient, decision-focused meetings and match persistent student patterns with supportive building responses. Tier 2 strategies provide targeted support in order to meet the needs of the individual student.</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Tier 2 Purpose: </w:t>
            </w:r>
            <w:r>
              <w:rPr>
                <w:rFonts w:ascii="Times New Roman" w:hAnsi="Times New Roman"/>
                <w:b w:val="0"/>
                <w:i w:val="0"/>
                <w:color w:val="1E2A3A"/>
                <w:sz w:val="24"/>
              </w:rPr>
              <w:t>Tier 2 support is selected based on the student's observed needs. The goal is to provide the right support, at the right time, with a clear adult lead and a defined follow-up point.</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FBF5E6"/>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Meeting Cadence Rule: </w:t>
            </w:r>
            <w:r>
              <w:rPr>
                <w:rFonts w:ascii="Times New Roman" w:hAnsi="Times New Roman"/>
                <w:b w:val="0"/>
                <w:i w:val="0"/>
                <w:color w:val="1E2A3A"/>
                <w:sz w:val="24"/>
              </w:rPr>
              <w:t>Student Support Team meetings occur weekly for 45-50 minutes and should be protected on the school calendar from routine scheduling conflicts whenever possible.</w:t>
            </w:r>
          </w:p>
        </w:tc>
      </w:tr>
    </w:tbl>
    <w:p/>
    <w:p>
      <w:pPr>
        <w:pStyle w:val="Heading1"/>
      </w:pPr>
      <w:r>
        <w:t>How the Team Uses This Guide</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2376"/>
        <w:gridCol w:w="7488"/>
      </w:tblGrid>
      <w:tr>
        <w:tc>
          <w:tcPr>
            <w:tcW w:type="dxa" w:w="237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Step</w:t>
            </w:r>
          </w:p>
        </w:tc>
        <w:tc>
          <w:tcPr>
            <w:tcW w:type="dxa" w:w="748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Team Action</w:t>
            </w:r>
          </w:p>
        </w:tc>
      </w:tr>
      <w:tr>
        <w:tc>
          <w:tcPr>
            <w:tcW w:type="dxa" w:w="237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1. Review the concern pattern</w:t>
            </w:r>
          </w:p>
        </w:tc>
        <w:tc>
          <w:tcPr>
            <w:tcW w:type="dxa" w:w="74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Look at the observed pattern across attendance, behavior/regulation, academic engagement, connection, or other relevant information.</w:t>
            </w:r>
          </w:p>
        </w:tc>
      </w:tr>
      <w:tr>
        <w:tc>
          <w:tcPr>
            <w:tcW w:type="dxa" w:w="237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2. Select the best-fit support</w:t>
            </w:r>
          </w:p>
        </w:tc>
        <w:tc>
          <w:tcPr>
            <w:tcW w:type="dxa" w:w="74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Choose the support that most directly matches the student's need. Avoid assigning the same support to every student by default.</w:t>
            </w:r>
          </w:p>
        </w:tc>
      </w:tr>
      <w:tr>
        <w:tc>
          <w:tcPr>
            <w:tcW w:type="dxa" w:w="237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3. Assign an Intervention Lead</w:t>
            </w:r>
          </w:p>
        </w:tc>
        <w:tc>
          <w:tcPr>
            <w:tcW w:type="dxa" w:w="74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Name the adult responsible for coordinating the support, checking implementation, and bringing updates back to the team.</w:t>
            </w:r>
          </w:p>
        </w:tc>
      </w:tr>
      <w:tr>
        <w:tc>
          <w:tcPr>
            <w:tcW w:type="dxa" w:w="237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4. Set a review date</w:t>
            </w:r>
          </w:p>
        </w:tc>
        <w:tc>
          <w:tcPr>
            <w:tcW w:type="dxa" w:w="74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Identify when the team will review progress evidence and decide whether to continue, adjust, fade, intensify, or close support.</w:t>
            </w:r>
          </w:p>
        </w:tc>
      </w:tr>
      <w:tr>
        <w:tc>
          <w:tcPr>
            <w:tcW w:type="dxa" w:w="2376"/>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5. Communicate back to staff</w:t>
            </w:r>
          </w:p>
        </w:tc>
        <w:tc>
          <w:tcPr>
            <w:tcW w:type="dxa" w:w="74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Make sure the referring teacher or relevant staff member understands the support plan and what to watch for.</w:t>
            </w:r>
          </w:p>
        </w:tc>
      </w:tr>
    </w:tbl>
    <w:p/>
    <w:p>
      <w:pPr>
        <w:pStyle w:val="Heading1"/>
      </w:pPr>
      <w:r>
        <w:t>The Support Matching Menu</w:t>
      </w:r>
    </w:p>
    <w:p>
      <w:r>
        <w:t>When a student's data or intake form flags a persistent pattern, the team selects one of the structured responses below.</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1944"/>
        <w:gridCol w:w="2160"/>
        <w:gridCol w:w="3671"/>
        <w:gridCol w:w="2088"/>
      </w:tblGrid>
      <w:tr>
        <w:tc>
          <w:tcPr>
            <w:tcW w:type="dxa" w:w="194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Strategy Choice</w:t>
            </w:r>
          </w:p>
        </w:tc>
        <w:tc>
          <w:tcPr>
            <w:tcW w:type="dxa" w:w="216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Best Fit Pattern</w:t>
            </w:r>
          </w:p>
        </w:tc>
        <w:tc>
          <w:tcPr>
            <w:tcW w:type="dxa" w:w="3671"/>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What It Looks Like</w:t>
            </w:r>
          </w:p>
        </w:tc>
        <w:tc>
          <w:tcPr>
            <w:tcW w:type="dxa" w:w="208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Progress Evidence</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Success Coaching Check-Ins</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Attendance dips, fading classroom motivation, or minor disruptions.</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student meets privately with a Success Coach each morning to set two or three positive daily goals. Teachers log progress privately in the secure system, and the coach reviews trends privately with the student at the end of the day.</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Weekly percentage of daily success goals achieved, logged privately by staff.</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Assigned Adult Mentor</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Social withdrawal, acute situational stress, or isolation.</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team pairs the student with a trusted staff member for regular informal connection check-ins, such as lunch, hallway greetings, or short scheduled conversations.</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Mentor communication logs and brief student check-in feedback indicators.</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Attendance Problem-Solving</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Unexcused absences, morning tardiness, or class cutting.</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 counselor or administrator holds a supportive, non-punitive meeting with the student and family to identify logistical or environmental barriers and coordinate home-school solutions.</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Weekly attendance and punctuality trends compared with the student's baseline.</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Academic Restart Plan</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Accumulating missing work, falling grades, or executive functioning barriers.</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 designated teacher or counselor helps the student build a manageable catch-up routine, reduce overwhelm, prioritize core standards, and set staggered deadlines.</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Core assignment completion rates and positive shifts in grade trajectory.</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Regulation Support Plan</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Repeated emotional dysregulation, shutdown behaviors, or verbal escalation.</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student works privately with a specialist to learn and practice an individualized regulation routine, such as self-referral to a safe spot or use of a breathing tool before distress peaks.</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Reduction in classroom removals, escalation events, or repeated dysregulation patterns.</w:t>
            </w:r>
          </w:p>
        </w:tc>
      </w:tr>
      <w:tr>
        <w:tc>
          <w:tcPr>
            <w:tcW w:type="dxa" w:w="1944"/>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Small-Group Skill Support</w:t>
            </w:r>
          </w:p>
        </w:tc>
        <w:tc>
          <w:tcPr>
            <w:tcW w:type="dxa" w:w="21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Peer conflict, situational anxiety, grief, or specific social-emotional skill gaps.</w:t>
            </w:r>
          </w:p>
        </w:tc>
        <w:tc>
          <w:tcPr>
            <w:tcW w:type="dxa" w:w="3671"/>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 time-bound, counselor-led small group meets weekly to teach, model, and practice specific target skills in a safe peer environment.</w:t>
            </w:r>
          </w:p>
        </w:tc>
        <w:tc>
          <w:tcPr>
            <w:tcW w:type="dxa" w:w="2088"/>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Group attendance logs and brief teacher observation of the student applying the skill in class.</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Best-Fit Reminder: </w:t>
            </w:r>
            <w:r>
              <w:rPr>
                <w:rFonts w:ascii="Times New Roman" w:hAnsi="Times New Roman"/>
                <w:b w:val="0"/>
                <w:i w:val="0"/>
                <w:color w:val="1E2A3A"/>
                <w:sz w:val="24"/>
              </w:rPr>
              <w:t>The team should avoid defaulting to one strategy for every student. The support should match the specific pattern the student is showing and the barrier the team is trying to reduce.</w:t>
            </w:r>
          </w:p>
        </w:tc>
      </w:tr>
    </w:tbl>
    <w:p/>
    <w:p>
      <w:pPr>
        <w:pStyle w:val="Heading1"/>
      </w:pPr>
      <w:r>
        <w:t>When to Adjust or Intensify</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464"/>
        <w:gridCol w:w="5400"/>
      </w:tblGrid>
      <w:tr>
        <w:tc>
          <w:tcPr>
            <w:tcW w:type="dxa" w:w="4464"/>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Review Finding</w:t>
            </w:r>
          </w:p>
        </w:tc>
        <w:tc>
          <w:tcPr>
            <w:tcW w:type="dxa" w:w="540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Team Response</w:t>
            </w:r>
          </w:p>
        </w:tc>
      </w:tr>
      <w:tr>
        <w:tc>
          <w:tcPr>
            <w:tcW w:type="dxa" w:w="446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support is helping, but more time is needed.</w:t>
            </w:r>
          </w:p>
        </w:tc>
        <w:tc>
          <w:tcPr>
            <w:tcW w:type="dxa" w:w="54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Continue the support and set a new review date.</w:t>
            </w:r>
          </w:p>
        </w:tc>
      </w:tr>
      <w:tr>
        <w:tc>
          <w:tcPr>
            <w:tcW w:type="dxa" w:w="446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support is partially helping or implementation is inconsistent.</w:t>
            </w:r>
          </w:p>
        </w:tc>
        <w:tc>
          <w:tcPr>
            <w:tcW w:type="dxa" w:w="54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Adjust the adult lead, frequency, setting, or support structure.</w:t>
            </w:r>
          </w:p>
        </w:tc>
      </w:tr>
      <w:tr>
        <w:tc>
          <w:tcPr>
            <w:tcW w:type="dxa" w:w="446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student has met the goal and is maintaining progress.</w:t>
            </w:r>
          </w:p>
        </w:tc>
        <w:tc>
          <w:tcPr>
            <w:tcW w:type="dxa" w:w="54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Fade the support gradually while continuing light monitoring.</w:t>
            </w:r>
          </w:p>
        </w:tc>
      </w:tr>
      <w:tr>
        <w:tc>
          <w:tcPr>
            <w:tcW w:type="dxa" w:w="446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concern continues or intensifies despite consistent Tier 2 implementation.</w:t>
            </w:r>
          </w:p>
        </w:tc>
        <w:tc>
          <w:tcPr>
            <w:tcW w:type="dxa" w:w="54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Move to Tier 3 individualized planning or request additional district/specialized support.</w:t>
            </w:r>
          </w:p>
        </w:tc>
      </w:tr>
      <w:tr>
        <w:tc>
          <w:tcPr>
            <w:tcW w:type="dxa" w:w="4464"/>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The concern is resolved and structured support is no longer needed.</w:t>
            </w:r>
          </w:p>
        </w:tc>
        <w:tc>
          <w:tcPr>
            <w:tcW w:type="dxa" w:w="5400"/>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Close the support and document the decision according to building procedures.</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val="0"/>
        <w:i w:val="0"/>
        <w:color w:val="4A5568"/>
        <w:sz w:val="19"/>
      </w:rPr>
      <w:t>Building Guide | Tier 2 Operational Flow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