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9864"/>
      </w:tblGrid>
      <w:tr>
        <w:tc>
          <w:tcPr>
            <w:tcW w:type="dxa" w:w="9864"/>
            <w:shd w:fill="1B4F46"/>
            <w:tcMar>
              <w:top w:w="210" w:type="dxa"/>
              <w:start w:w="240" w:type="dxa"/>
              <w:bottom w:w="220" w:type="dxa"/>
              <w:end w:w="240" w:type="dxa"/>
            </w:tcMar>
            <w:tcBorders>
              <w:top w:val="nil" w:sz="0" w:space="0" w:color="auto"/>
              <w:bottom w:val="nil" w:sz="0" w:space="0" w:color="auto"/>
              <w:left w:val="single" w:sz="6" w:space="0" w:color="DDE9E5"/>
              <w:right w:val="single" w:sz="6" w:space="0" w:color="DDE9E5"/>
            </w:tcBorders>
          </w:tcPr>
          <w:p>
            <w:pPr>
              <w:spacing w:after="8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40"/>
              </w:rPr>
              <w:t>Tier 1 Universal Prevention and SEL Framework</w:t>
            </w:r>
          </w:p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DDE9E5"/>
                <w:sz w:val="24"/>
              </w:rPr>
              <w:t>Coordinated Student Support System | Classroom Environment Guide</w:t>
            </w:r>
          </w:p>
        </w:tc>
      </w:tr>
    </w:tbl>
    <w:p/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9864"/>
      </w:tblGrid>
      <w:tr>
        <w:tc>
          <w:tcPr>
            <w:tcW w:type="dxa" w:w="9864"/>
            <w:shd w:fill="EEF6F3"/>
            <w:tcMar>
              <w:top w:w="140" w:type="dxa"/>
              <w:start w:w="170" w:type="dxa"/>
              <w:bottom w:w="140" w:type="dxa"/>
              <w:end w:w="170" w:type="dxa"/>
            </w:tcMar>
            <w:tcBorders>
              <w:top w:val="nil" w:sz="0" w:space="0" w:color="auto"/>
              <w:bottom w:val="nil" w:sz="0" w:space="0" w:color="auto"/>
              <w:left w:val="single" w:sz="6" w:space="0" w:color="DDE9E5"/>
              <w:right w:val="single" w:sz="6" w:space="0" w:color="DDE9E5"/>
            </w:tcBorders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i w:val="0"/>
                <w:color w:val="0E2243"/>
                <w:sz w:val="24"/>
              </w:rPr>
              <w:t xml:space="preserve">Purpose: </w:t>
            </w:r>
            <w:r>
              <w:rPr>
                <w:rFonts w:ascii="Times New Roman" w:hAnsi="Times New Roman"/>
                <w:b w:val="0"/>
                <w:i w:val="0"/>
                <w:color w:val="1E2A3A"/>
                <w:sz w:val="24"/>
              </w:rPr>
              <w:t>Provided to instructional staff to establish a predictable, safe classroom baseline that protects teacher instructional time, strengthens student regulation, and aligns daily practice with district SEL goals.</w:t>
            </w:r>
          </w:p>
        </w:tc>
      </w:tr>
    </w:tbl>
    <w:p/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9864"/>
      </w:tblGrid>
      <w:tr>
        <w:tc>
          <w:tcPr>
            <w:tcW w:type="dxa" w:w="9864"/>
            <w:shd w:fill="FBF5E6"/>
            <w:tcMar>
              <w:top w:w="140" w:type="dxa"/>
              <w:start w:w="170" w:type="dxa"/>
              <w:bottom w:w="140" w:type="dxa"/>
              <w:end w:w="170" w:type="dxa"/>
            </w:tcMar>
            <w:tcBorders>
              <w:top w:val="nil" w:sz="0" w:space="0" w:color="auto"/>
              <w:bottom w:val="nil" w:sz="0" w:space="0" w:color="auto"/>
              <w:left w:val="single" w:sz="6" w:space="0" w:color="DDE9E5"/>
              <w:right w:val="single" w:sz="6" w:space="0" w:color="DDE9E5"/>
            </w:tcBorders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i w:val="0"/>
                <w:color w:val="0E2243"/>
                <w:sz w:val="24"/>
              </w:rPr>
              <w:t xml:space="preserve">Important Use Note: </w:t>
            </w:r>
            <w:r>
              <w:rPr>
                <w:rFonts w:ascii="Times New Roman" w:hAnsi="Times New Roman"/>
                <w:b w:val="0"/>
                <w:i w:val="0"/>
                <w:color w:val="1E2A3A"/>
                <w:sz w:val="24"/>
              </w:rPr>
              <w:t>This guide is not an extra program or a separate layer of work. It describes the daily classroom conditions that help learning happen: predictable routines, strong relationships, calm correction, and consistent SEL language. These practices should be embedded into existing lessons, transitions, and classroom routines.</w:t>
            </w:r>
          </w:p>
        </w:tc>
      </w:tr>
    </w:tbl>
    <w:p/>
    <w:p>
      <w:pPr>
        <w:pStyle w:val="Heading1"/>
      </w:pPr>
      <w:r>
        <w:t>The Universal Classroom Strategy Matrix</w:t>
      </w:r>
    </w:p>
    <w:p>
      <w:r>
        <w:t>Use these daily habits and environmental safeguards to establish strong behavioral boundaries and support student regulation before concerns escalate.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1800"/>
        <w:gridCol w:w="3024"/>
        <w:gridCol w:w="2808"/>
        <w:gridCol w:w="2232"/>
      </w:tblGrid>
      <w:tr>
        <w:tc>
          <w:tcPr>
            <w:tcW w:type="dxa" w:w="1800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Focus Area</w:t>
            </w:r>
          </w:p>
        </w:tc>
        <w:tc>
          <w:tcPr>
            <w:tcW w:type="dxa" w:w="3024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Concrete Classroom Strategy</w:t>
            </w:r>
          </w:p>
        </w:tc>
        <w:tc>
          <w:tcPr>
            <w:tcW w:type="dxa" w:w="2808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What This Looks Like in Practice</w:t>
            </w:r>
          </w:p>
        </w:tc>
        <w:tc>
          <w:tcPr>
            <w:tcW w:type="dxa" w:w="2232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District SEL Alignment Hook</w:t>
            </w:r>
          </w:p>
        </w:tc>
      </w:tr>
      <w:tr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Predictable environments</w:t>
            </w:r>
          </w:p>
        </w:tc>
        <w:tc>
          <w:tcPr>
            <w:tcW w:type="dxa" w:w="302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Post daily visual agendas in a fixed location. Explicitly pre-teach and practice transition routines, such as gathering materials or turning in work, to reduce student anxiety.</w:t>
            </w:r>
          </w:p>
        </w:tc>
        <w:tc>
          <w:tcPr>
            <w:tcW w:type="dxa" w:w="280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Students know what comes next. Transitions are rehearsed. Directions are repeated consistently. Idle time is minimized.</w:t>
            </w:r>
          </w:p>
        </w:tc>
        <w:tc>
          <w:tcPr>
            <w:tcW w:type="dxa" w:w="2232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Self-management and relationship skills: teaches routines that build independence and clear expectations.</w:t>
            </w:r>
          </w:p>
        </w:tc>
      </w:tr>
      <w:tr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Relational anchors</w:t>
            </w:r>
          </w:p>
        </w:tc>
        <w:tc>
          <w:tcPr>
            <w:tcW w:type="dxa" w:w="302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Establish proactive door-greeting habits. Use strategies such as Two-by-Ten, speaking with a student for two minutes a day for ten days about personal interests, to build relational capital before challenges occur.</w:t>
            </w:r>
          </w:p>
        </w:tc>
        <w:tc>
          <w:tcPr>
            <w:tcW w:type="dxa" w:w="280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Adults greet students by name, notice patterns, use brief check-ins, and build connection before correction is needed.</w:t>
            </w:r>
          </w:p>
        </w:tc>
        <w:tc>
          <w:tcPr>
            <w:tcW w:type="dxa" w:w="2232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Social awareness: fosters belonging and validates student identity before challenges emerge.</w:t>
            </w:r>
          </w:p>
        </w:tc>
      </w:tr>
      <w:tr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De-escalation and dignity</w:t>
            </w:r>
          </w:p>
        </w:tc>
        <w:tc>
          <w:tcPr>
            <w:tcW w:type="dxa" w:w="302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Keep behavioral corrections calm, private, and at eye level to prevent public counter-escalation. Provide a structured reset option inside the classroom for brief pauses.</w:t>
            </w:r>
          </w:p>
        </w:tc>
        <w:tc>
          <w:tcPr>
            <w:tcW w:type="dxa" w:w="280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Corrections are short and private. The student is given a path back to learning. Staff avoid public power struggles.</w:t>
            </w:r>
          </w:p>
        </w:tc>
        <w:tc>
          <w:tcPr>
            <w:tcW w:type="dxa" w:w="2232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Responsible decision-making: gives students a private opportunity to evaluate choices and self-regulate without public shame.</w:t>
            </w:r>
          </w:p>
        </w:tc>
      </w:tr>
      <w:tr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SEL system hooks</w:t>
            </w:r>
          </w:p>
        </w:tc>
        <w:tc>
          <w:tcPr>
            <w:tcW w:type="dxa" w:w="302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Weave emotional vocabulary, co-regulation modeling, and reflective closures from the district-approved SEL curriculum into daily instruction.</w:t>
            </w:r>
          </w:p>
        </w:tc>
        <w:tc>
          <w:tcPr>
            <w:tcW w:type="dxa" w:w="2808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Teachers model regulation language, name feelings and choices, and close lessons with brief reflection when appropriate.</w:t>
            </w:r>
          </w:p>
        </w:tc>
        <w:tc>
          <w:tcPr>
            <w:tcW w:type="dxa" w:w="2232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Self-awareness: connects social-emotional vocabulary to daily academic tasks and emotional checks.</w:t>
            </w:r>
          </w:p>
        </w:tc>
      </w:tr>
    </w:tbl>
    <w:p/>
    <w:p>
      <w:pPr>
        <w:pStyle w:val="Heading1"/>
      </w:pPr>
      <w:r>
        <w:t>Implementation Checklist</w:t>
      </w:r>
    </w:p>
    <w:p>
      <w:r>
        <w:t>Use this checklist as a simple building-level reflection. It is not intended to evaluate individual teachers; it helps teams confirm that Tier 1 classroom prevention is visible and consistent.</w:t>
      </w:r>
    </w:p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4680"/>
        <w:gridCol w:w="5184"/>
      </w:tblGrid>
      <w:tr>
        <w:tc>
          <w:tcPr>
            <w:tcW w:type="dxa" w:w="4680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Tier 1 Practice</w:t>
            </w:r>
          </w:p>
        </w:tc>
        <w:tc>
          <w:tcPr>
            <w:tcW w:type="dxa" w:w="5184"/>
            <w:shd w:fill="1B4F46"/>
            <w:tcBorders>
              <w:top w:val="nil" w:sz="0" w:space="0" w:color="auto"/>
              <w:left w:val="single" w:sz="6" w:space="0" w:color="DDE9E5"/>
              <w:bottom w:val="nil" w:sz="0" w:space="0" w:color="auto"/>
              <w:right w:val="single" w:sz="6" w:space="0" w:color="DDE9E5"/>
            </w:tcBorders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Teacher / Team Check</w:t>
            </w:r>
          </w:p>
        </w:tc>
      </w:tr>
      <w:tr>
        <w:tc>
          <w:tcPr>
            <w:tcW w:type="dxa" w:w="468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Daily routines are taught, modeled, and revisited.</w:t>
            </w:r>
          </w:p>
        </w:tc>
        <w:tc>
          <w:tcPr>
            <w:tcW w:type="dxa" w:w="518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Consistently visible</w:t>
              <w:br/>
              <w:t>[ ] In development</w:t>
              <w:br/>
              <w:t>Notes:</w:t>
            </w:r>
          </w:p>
        </w:tc>
      </w:tr>
      <w:tr>
        <w:tc>
          <w:tcPr>
            <w:tcW w:type="dxa" w:w="468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Students can see or hear what comes next during class.</w:t>
            </w:r>
          </w:p>
        </w:tc>
        <w:tc>
          <w:tcPr>
            <w:tcW w:type="dxa" w:w="518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Consistently visible</w:t>
              <w:br/>
              <w:t>[ ] In development</w:t>
              <w:br/>
              <w:t>Notes:</w:t>
            </w:r>
          </w:p>
        </w:tc>
      </w:tr>
      <w:tr>
        <w:tc>
          <w:tcPr>
            <w:tcW w:type="dxa" w:w="468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Adults use proactive greetings or brief connection routines.</w:t>
            </w:r>
          </w:p>
        </w:tc>
        <w:tc>
          <w:tcPr>
            <w:tcW w:type="dxa" w:w="518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Consistently visible</w:t>
              <w:br/>
              <w:t>[ ] In development</w:t>
              <w:br/>
              <w:t>Notes:</w:t>
            </w:r>
          </w:p>
        </w:tc>
      </w:tr>
      <w:tr>
        <w:tc>
          <w:tcPr>
            <w:tcW w:type="dxa" w:w="468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Corrections are calm, private, and preserve student dignity.</w:t>
            </w:r>
          </w:p>
        </w:tc>
        <w:tc>
          <w:tcPr>
            <w:tcW w:type="dxa" w:w="518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Consistently visible</w:t>
              <w:br/>
              <w:t>[ ] In development</w:t>
              <w:br/>
              <w:t>Notes:</w:t>
            </w:r>
          </w:p>
        </w:tc>
      </w:tr>
      <w:tr>
        <w:tc>
          <w:tcPr>
            <w:tcW w:type="dxa" w:w="468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A brief reset or regulation option exists before removal is considered.</w:t>
            </w:r>
          </w:p>
        </w:tc>
        <w:tc>
          <w:tcPr>
            <w:tcW w:type="dxa" w:w="518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Consistently visible</w:t>
              <w:br/>
              <w:t>[ ] In development</w:t>
              <w:br/>
              <w:t>Notes:</w:t>
            </w:r>
          </w:p>
        </w:tc>
      </w:tr>
      <w:tr>
        <w:tc>
          <w:tcPr>
            <w:tcW w:type="dxa" w:w="4680"/>
            <w:shd w:fill="F7F8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District SEL language is embedded into daily classroom routines.</w:t>
            </w:r>
          </w:p>
        </w:tc>
        <w:tc>
          <w:tcPr>
            <w:tcW w:type="dxa" w:w="5184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6" w:space="0" w:color="DDE2EC"/>
              <w:left w:val="single" w:sz="6" w:space="0" w:color="DDE2EC"/>
              <w:bottom w:val="single" w:sz="6" w:space="0" w:color="DDE2EC"/>
              <w:right w:val="single" w:sz="6" w:space="0" w:color="DDE2EC"/>
            </w:tcBorders>
          </w:tcPr>
          <w:p>
            <w:pPr>
              <w:spacing w:after="0" w:line="259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1E2A3A"/>
                <w:sz w:val="21"/>
              </w:rPr>
              <w:t>[ ] Consistently visible</w:t>
              <w:br/>
              <w:t>[ ] In development</w:t>
              <w:br/>
              <w:t>Notes:</w:t>
            </w:r>
          </w:p>
        </w:tc>
      </w:tr>
    </w:tbl>
    <w:p/>
    <w:tbl>
      <w:tblPr>
        <w:tblW w:type="dxa" w:w="9864"/>
        <w:jc w:val="center"/>
        <w:tblLayout w:type="fixed"/>
        <w:tblLook w:firstColumn="1" w:firstRow="1" w:lastColumn="0" w:lastRow="0" w:noHBand="0" w:noVBand="1" w:val="04A0"/>
        <w:tblBorders>
          <w:top w:val="nil" w:sz="0" w:space="0" w:color="auto"/>
          <w:left w:val="nil" w:sz="0" w:space="0" w:color="auto"/>
          <w:bottom w:val="nil" w:sz="0" w:space="0" w:color="auto"/>
          <w:right w:val="nil" w:sz="0" w:space="0" w:color="auto"/>
          <w:insideH w:val="nil" w:sz="0" w:space="0" w:color="auto"/>
          <w:insideV w:val="nil" w:sz="0" w:space="0" w:color="auto"/>
        </w:tblBorders>
      </w:tblPr>
      <w:tblGrid>
        <w:gridCol w:w="9864"/>
      </w:tblGrid>
      <w:tr>
        <w:tc>
          <w:tcPr>
            <w:tcW w:type="dxa" w:w="9864"/>
            <w:shd w:fill="FBF5E6"/>
            <w:tcMar>
              <w:top w:w="140" w:type="dxa"/>
              <w:start w:w="170" w:type="dxa"/>
              <w:bottom w:w="140" w:type="dxa"/>
              <w:end w:w="170" w:type="dxa"/>
            </w:tcMar>
            <w:tcBorders>
              <w:top w:val="nil" w:sz="0" w:space="0" w:color="auto"/>
              <w:bottom w:val="nil" w:sz="0" w:space="0" w:color="auto"/>
              <w:left w:val="single" w:sz="6" w:space="0" w:color="DDE9E5"/>
              <w:right w:val="single" w:sz="6" w:space="0" w:color="DDE9E5"/>
            </w:tcBorders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i w:val="0"/>
                <w:color w:val="0E2243"/>
                <w:sz w:val="24"/>
              </w:rPr>
              <w:t xml:space="preserve">Safety Boundary: </w:t>
            </w:r>
            <w:r>
              <w:rPr>
                <w:rFonts w:ascii="Times New Roman" w:hAnsi="Times New Roman"/>
                <w:b w:val="0"/>
                <w:i w:val="0"/>
                <w:color w:val="1E2A3A"/>
                <w:sz w:val="24"/>
              </w:rPr>
              <w:t>Tier 1 prevention does not replace urgent safety protocols, crisis response, mandated reporting, or individualized support. Immediate safety concerns must follow district emergency procedures.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08" w:right="1037" w:bottom="1008" w:left="1037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color w:val="4A5568"/>
        <w:sz w:val="19"/>
      </w:rPr>
      <w:t>The Blueprint Institute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/>
        <w:b w:val="0"/>
        <w:i w:val="0"/>
        <w:color w:val="4A5568"/>
        <w:sz w:val="19"/>
      </w:rPr>
      <w:t>Building Guide | Tier 1 Universal Prevention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Times New Roman" w:hAnsi="Times New Roman"/>
      <w:color w:val="1E2A3A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B4F46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Georgia" w:hAnsi="Georgia"/>
      <w:b/>
      <w:bCs/>
      <w:color w:val="0E224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Georgia" w:hAnsi="Georgia"/>
      <w:b/>
      <w:bCs/>
      <w:color w:val="0E2243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