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tblLook w:firstColumn="1" w:firstRow="1" w:lastColumn="0" w:lastRow="0" w:noHBand="0" w:noVBand="1" w:val="04A0"/>
        <w:tblLayout w:type="fixed"/>
      </w:tblPr>
      <w:tblGrid>
        <w:gridCol w:w="9360"/>
      </w:tblGrid>
      <w:tr>
        <w:tc>
          <w:tcPr>
            <w:tcW w:type="dxa" w:w="9360"/>
            <w:shd w:fill="1B4F46"/>
            <w:tcBorders>
              <w:top w:val="single" w:sz="6" w:space="0" w:color="1B4F46"/>
              <w:left w:val="single" w:sz="6" w:space="0" w:color="1B4F46"/>
              <w:bottom w:val="single" w:sz="6" w:space="0" w:color="1B4F46"/>
              <w:right w:val="single" w:sz="6" w:space="0" w:color="1B4F46"/>
            </w:tcBorders>
            <w:tcMar>
              <w:top w:w="220" w:type="dxa"/>
              <w:start w:w="220" w:type="dxa"/>
              <w:bottom w:w="220" w:type="dxa"/>
              <w:end w:w="220" w:type="dxa"/>
            </w:tcMar>
          </w:tcPr>
          <w:p>
            <w:pPr>
              <w:spacing w:before="0" w:after="100" w:line="259" w:lineRule="auto"/>
              <w:jc w:val="center"/>
            </w:pPr>
            <w:r>
              <w:rPr>
                <w:rFonts w:ascii="Times New Roman" w:hAnsi="Times New Roman"/>
                <w:b/>
                <w:i w:val="0"/>
                <w:color w:val="D8B864"/>
                <w:sz w:val="34"/>
                <w:spacing w:val="0"/>
              </w:rPr>
              <w:t>Preparing Students for Life After High School</w:t>
            </w:r>
          </w:p>
          <w:p>
            <w:pPr>
              <w:spacing w:before="0" w:after="0" w:line="259" w:lineRule="auto"/>
              <w:jc w:val="center"/>
            </w:pPr>
            <w:r>
              <w:rPr>
                <w:rFonts w:ascii="Times New Roman" w:hAnsi="Times New Roman"/>
                <w:b/>
                <w:i w:val="0"/>
                <w:color w:val="FFFFFF"/>
                <w:sz w:val="26"/>
                <w:spacing w:val="0"/>
              </w:rPr>
              <w:t>Staff One-Page Overview</w:t>
            </w:r>
          </w:p>
        </w:tc>
      </w:tr>
    </w:tbl>
    <w:p>
      <w:pPr>
        <w:spacing w:before="120" w:after="80" w:line="259" w:lineRule="auto"/>
      </w:pPr>
      <w:r>
        <w:rPr>
          <w:rFonts w:ascii="Times New Roman" w:hAnsi="Times New Roman"/>
          <w:b/>
          <w:i w:val="0"/>
          <w:color w:val="1B4F46"/>
          <w:sz w:val="28"/>
          <w:spacing w:val="0"/>
        </w:rPr>
        <w:t>Why This Work Matters</w:t>
      </w:r>
    </w:p>
    <w:p>
      <w:pPr>
        <w:spacing w:before="0" w:after="80" w:line="259" w:lineRule="auto"/>
      </w:pPr>
      <w:r>
        <w:rPr>
          <w:rFonts w:ascii="Times New Roman" w:hAnsi="Times New Roman"/>
          <w:b w:val="0"/>
          <w:i w:val="0"/>
          <w:color w:val="0E2243"/>
          <w:sz w:val="21"/>
          <w:spacing w:val="0"/>
        </w:rPr>
        <w:t>The district is launching this work to help students leave high school prepared for enrollment, enlistment, employment, civic participation, and adult life. Graduation matters, but students also need direction, confidence, meaningful learning, support, and the ability to navigate what comes next.</w:t>
      </w:r>
    </w:p>
    <w:tbl>
      <w:tblPr>
        <w:tblW w:type="dxa" w:w="9360"/>
        <w:tblLook w:firstColumn="1" w:firstRow="1" w:lastColumn="0" w:lastRow="0" w:noHBand="0" w:noVBand="1" w:val="04A0"/>
        <w:tblLayout w:type="fixed"/>
      </w:tblPr>
      <w:tblGrid>
        <w:gridCol w:w="9360"/>
      </w:tblGrid>
      <w:tr>
        <w:tc>
          <w:tcPr>
            <w:tcW w:type="dxa" w:w="9360"/>
            <w:shd w:fill="FBF7E8"/>
            <w:tcBorders>
              <w:top w:val="single" w:sz="6" w:space="0" w:color="C8DAD4"/>
              <w:left w:val="single" w:sz="6" w:space="0" w:color="C8DAD4"/>
              <w:bottom w:val="single" w:sz="6" w:space="0" w:color="C8DAD4"/>
              <w:right w:val="single" w:sz="6" w:space="0" w:color="C8DAD4"/>
            </w:tcBorders>
            <w:tcMar>
              <w:top w:w="120" w:type="dxa"/>
              <w:start w:w="150" w:type="dxa"/>
              <w:bottom w:w="120" w:type="dxa"/>
              <w:end w:w="150" w:type="dxa"/>
            </w:tcMar>
          </w:tcPr>
          <w:p>
            <w:pPr>
              <w:spacing w:before="0" w:after="60" w:line="252" w:lineRule="auto"/>
            </w:pPr>
            <w:r>
              <w:rPr>
                <w:rFonts w:ascii="Times New Roman" w:hAnsi="Times New Roman"/>
                <w:b/>
                <w:i w:val="0"/>
                <w:color w:val="1B4F46"/>
                <w:sz w:val="22"/>
                <w:spacing w:val="0"/>
              </w:rPr>
              <w:t>Enhancing Content, Not Adding Tasks</w:t>
            </w:r>
          </w:p>
          <w:p>
            <w:pPr>
              <w:spacing w:before="0" w:after="0" w:line="252" w:lineRule="auto"/>
            </w:pPr>
            <w:r>
              <w:rPr>
                <w:rFonts w:ascii="Times New Roman" w:hAnsi="Times New Roman"/>
                <w:b w:val="0"/>
                <w:i w:val="0"/>
                <w:color w:val="0E2243"/>
                <w:sz w:val="21"/>
                <w:spacing w:val="0"/>
              </w:rPr>
              <w:t>This work is designed to strengthen existing instruction and support routines. It does not replace required standards, curriculum, assessments, or accountability expectations. The goal is to embed future-ready skills, authentic application, student reflection, and readiness experiences into the work already taking place.</w:t>
            </w:r>
          </w:p>
        </w:tc>
      </w:tr>
    </w:tbl>
    <w:p>
      <w:pPr>
        <w:spacing w:before="0" w:after="20" w:line="259" w:lineRule="auto"/>
      </w:pPr>
      <w:r>
        <w:rPr>
          <w:rFonts w:ascii="Times New Roman" w:hAnsi="Times New Roman"/>
          <w:b w:val="0"/>
          <w:i w:val="0"/>
          <w:color w:val="0E2243"/>
          <w:sz w:val="21"/>
          <w:spacing w:val="0"/>
        </w:rPr>
      </w:r>
    </w:p>
    <w:p>
      <w:pPr>
        <w:spacing w:before="120" w:after="80" w:line="259" w:lineRule="auto"/>
      </w:pPr>
      <w:r>
        <w:rPr>
          <w:rFonts w:ascii="Times New Roman" w:hAnsi="Times New Roman"/>
          <w:b/>
          <w:i w:val="0"/>
          <w:color w:val="1B4F46"/>
          <w:sz w:val="28"/>
          <w:spacing w:val="0"/>
        </w:rPr>
        <w:t>What the District Is Providing</w:t>
      </w:r>
    </w:p>
    <w:p>
      <w:pPr>
        <w:pStyle w:val="ListBullet"/>
        <w:spacing w:before="0" w:after="40" w:line="259" w:lineRule="auto"/>
        <w:ind w:left="331" w:hanging="202"/>
      </w:pPr>
      <w:r>
        <w:rPr>
          <w:rFonts w:ascii="Times New Roman" w:hAnsi="Times New Roman"/>
          <w:b w:val="0"/>
          <w:i w:val="0"/>
          <w:color w:val="0E2243"/>
          <w:sz w:val="21"/>
          <w:spacing w:val="0"/>
        </w:rPr>
        <w:t>A district framework organized around seven domains of student preparation.</w:t>
      </w:r>
    </w:p>
    <w:p>
      <w:pPr>
        <w:pStyle w:val="ListBullet"/>
        <w:spacing w:before="0" w:after="40" w:line="259" w:lineRule="auto"/>
        <w:ind w:left="331" w:hanging="202"/>
      </w:pPr>
      <w:r>
        <w:rPr>
          <w:rFonts w:ascii="Times New Roman" w:hAnsi="Times New Roman"/>
          <w:b w:val="0"/>
          <w:i w:val="0"/>
          <w:color w:val="0E2243"/>
          <w:sz w:val="21"/>
          <w:spacing w:val="0"/>
        </w:rPr>
        <w:t>Building Implementation Guides that translate the framework into grade-band action.</w:t>
      </w:r>
    </w:p>
    <w:p>
      <w:pPr>
        <w:pStyle w:val="ListBullet"/>
        <w:spacing w:before="0" w:after="40" w:line="259" w:lineRule="auto"/>
        <w:ind w:left="331" w:hanging="202"/>
      </w:pPr>
      <w:r>
        <w:rPr>
          <w:rFonts w:ascii="Times New Roman" w:hAnsi="Times New Roman"/>
          <w:b w:val="0"/>
          <w:i w:val="0"/>
          <w:color w:val="0E2243"/>
          <w:sz w:val="21"/>
          <w:spacing w:val="0"/>
        </w:rPr>
        <w:t>A starting domain and grade-band launch direction for participating buildings.</w:t>
      </w:r>
    </w:p>
    <w:p>
      <w:pPr>
        <w:pStyle w:val="ListBullet"/>
        <w:spacing w:before="0" w:after="40" w:line="259" w:lineRule="auto"/>
        <w:ind w:left="331" w:hanging="202"/>
      </w:pPr>
      <w:r>
        <w:rPr>
          <w:rFonts w:ascii="Times New Roman" w:hAnsi="Times New Roman"/>
          <w:b w:val="0"/>
          <w:i w:val="0"/>
          <w:color w:val="0E2243"/>
          <w:sz w:val="21"/>
          <w:spacing w:val="0"/>
        </w:rPr>
        <w:t>Support through professional learning, planning help, implementation resources, coaching, and quarterly response.</w:t>
      </w:r>
    </w:p>
    <w:tbl>
      <w:tblPr>
        <w:tblW w:type="dxa" w:w="9360"/>
        <w:tblLook w:firstColumn="1" w:firstRow="1" w:lastColumn="0" w:lastRow="0" w:noHBand="0" w:noVBand="1" w:val="04A0"/>
        <w:tblLayout w:type="fixed"/>
      </w:tblPr>
      <w:tblGrid>
        <w:gridCol w:w="9360"/>
      </w:tblGrid>
      <w:tr>
        <w:tc>
          <w:tcPr>
            <w:tcW w:type="dxa" w:w="9360"/>
            <w:shd w:fill="F2F7F5"/>
            <w:tcBorders>
              <w:top w:val="single" w:sz="6" w:space="0" w:color="C8DAD4"/>
              <w:left w:val="single" w:sz="6" w:space="0" w:color="C8DAD4"/>
              <w:bottom w:val="single" w:sz="6" w:space="0" w:color="C8DAD4"/>
              <w:right w:val="single" w:sz="6" w:space="0" w:color="C8DAD4"/>
            </w:tcBorders>
            <w:tcMar>
              <w:top w:w="120" w:type="dxa"/>
              <w:start w:w="150" w:type="dxa"/>
              <w:bottom w:w="120" w:type="dxa"/>
              <w:end w:w="150" w:type="dxa"/>
            </w:tcMar>
          </w:tcPr>
          <w:p>
            <w:pPr>
              <w:spacing w:before="0" w:after="60" w:line="252" w:lineRule="auto"/>
            </w:pPr>
            <w:r>
              <w:rPr>
                <w:rFonts w:ascii="Times New Roman" w:hAnsi="Times New Roman"/>
                <w:b/>
                <w:i w:val="0"/>
                <w:color w:val="1B4F46"/>
                <w:sz w:val="22"/>
                <w:spacing w:val="0"/>
              </w:rPr>
              <w:t>Why This Starts in the Early Grades</w:t>
            </w:r>
          </w:p>
          <w:p>
            <w:pPr>
              <w:spacing w:before="0" w:after="0" w:line="252" w:lineRule="auto"/>
            </w:pPr>
            <w:r>
              <w:rPr>
                <w:rFonts w:ascii="Times New Roman" w:hAnsi="Times New Roman"/>
                <w:b w:val="0"/>
                <w:i w:val="0"/>
                <w:color w:val="0E2243"/>
                <w:sz w:val="21"/>
                <w:spacing w:val="0"/>
              </w:rPr>
              <w:t>For young students, this is not about choosing a career too early. It begins with curiosity, confidence, imagination, communication, responsibility, problem solving, and helping children see that school connects to the world around them. Those early habits become the foundation for later pathway awareness and future direction.</w:t>
            </w:r>
          </w:p>
        </w:tc>
      </w:tr>
    </w:tbl>
    <w:p>
      <w:pPr>
        <w:spacing w:before="0" w:after="20" w:line="259" w:lineRule="auto"/>
      </w:pPr>
      <w:r>
        <w:rPr>
          <w:rFonts w:ascii="Times New Roman" w:hAnsi="Times New Roman"/>
          <w:b w:val="0"/>
          <w:i w:val="0"/>
          <w:color w:val="0E2243"/>
          <w:sz w:val="21"/>
          <w:spacing w:val="0"/>
        </w:rPr>
      </w:r>
    </w:p>
    <w:p>
      <w:pPr>
        <w:spacing w:before="120" w:after="80" w:line="259" w:lineRule="auto"/>
      </w:pPr>
      <w:r>
        <w:rPr>
          <w:rFonts w:ascii="Times New Roman" w:hAnsi="Times New Roman"/>
          <w:b/>
          <w:i w:val="0"/>
          <w:color w:val="1B4F46"/>
          <w:sz w:val="28"/>
          <w:spacing w:val="0"/>
        </w:rPr>
        <w:t>What Buildings Will Do</w:t>
      </w:r>
    </w:p>
    <w:p>
      <w:pPr>
        <w:pStyle w:val="ListBullet"/>
        <w:spacing w:before="0" w:after="40" w:line="259" w:lineRule="auto"/>
        <w:ind w:left="331" w:hanging="202"/>
      </w:pPr>
      <w:r>
        <w:rPr>
          <w:rFonts w:ascii="Times New Roman" w:hAnsi="Times New Roman"/>
          <w:b w:val="0"/>
          <w:i w:val="0"/>
          <w:color w:val="0E2243"/>
          <w:sz w:val="21"/>
          <w:spacing w:val="0"/>
        </w:rPr>
        <w:t>Use the Building Implementation Guide for the district-selected domain.</w:t>
      </w:r>
    </w:p>
    <w:p>
      <w:pPr>
        <w:pStyle w:val="ListBullet"/>
        <w:spacing w:before="0" w:after="40" w:line="259" w:lineRule="auto"/>
        <w:ind w:left="331" w:hanging="202"/>
      </w:pPr>
      <w:r>
        <w:rPr>
          <w:rFonts w:ascii="Times New Roman" w:hAnsi="Times New Roman"/>
          <w:b w:val="0"/>
          <w:i w:val="0"/>
          <w:color w:val="0E2243"/>
          <w:sz w:val="21"/>
          <w:spacing w:val="0"/>
        </w:rPr>
        <w:t>Focus on the grade bands served by the building and included in the launch direction.</w:t>
      </w:r>
    </w:p>
    <w:p>
      <w:pPr>
        <w:pStyle w:val="ListBullet"/>
        <w:spacing w:before="0" w:after="40" w:line="259" w:lineRule="auto"/>
        <w:ind w:left="331" w:hanging="202"/>
      </w:pPr>
      <w:r>
        <w:rPr>
          <w:rFonts w:ascii="Times New Roman" w:hAnsi="Times New Roman"/>
          <w:b w:val="0"/>
          <w:i w:val="0"/>
          <w:color w:val="0E2243"/>
          <w:sz w:val="21"/>
          <w:spacing w:val="0"/>
        </w:rPr>
        <w:t>Choose a small number of first actions that fit existing instruction, advising, support routines, or student experiences.</w:t>
      </w:r>
    </w:p>
    <w:p>
      <w:pPr>
        <w:pStyle w:val="ListBullet"/>
        <w:spacing w:before="0" w:after="40" w:line="259" w:lineRule="auto"/>
        <w:ind w:left="331" w:hanging="202"/>
      </w:pPr>
      <w:r>
        <w:rPr>
          <w:rFonts w:ascii="Times New Roman" w:hAnsi="Times New Roman"/>
          <w:b w:val="0"/>
          <w:i w:val="0"/>
          <w:color w:val="0E2243"/>
          <w:sz w:val="21"/>
          <w:spacing w:val="0"/>
        </w:rPr>
        <w:t>Review lightweight evidence and submit a Quarterly Building Implementation Summary.</w:t>
      </w:r>
    </w:p>
    <w:p>
      <w:pPr>
        <w:spacing w:before="120" w:after="80" w:line="259" w:lineRule="auto"/>
      </w:pPr>
      <w:r>
        <w:rPr>
          <w:rFonts w:ascii="Times New Roman" w:hAnsi="Times New Roman"/>
          <w:b/>
          <w:i w:val="0"/>
          <w:color w:val="1B4F46"/>
          <w:sz w:val="28"/>
          <w:spacing w:val="0"/>
        </w:rPr>
        <w:t>Your Role as Staff</w:t>
      </w:r>
    </w:p>
    <w:tbl>
      <w:tblPr>
        <w:tblW w:type="dxa" w:w="9360"/>
        <w:tblLook w:firstColumn="1" w:firstRow="1" w:lastColumn="0" w:lastRow="0" w:noHBand="0" w:noVBand="1" w:val="04A0"/>
        <w:tblLayout w:type="fixed"/>
      </w:tblPr>
      <w:tblGrid>
        <w:gridCol w:w="2700"/>
        <w:gridCol w:w="6660"/>
      </w:tblGrid>
      <w:tr>
        <w:tc>
          <w:tcPr>
            <w:tcW w:type="dxa" w:w="2700"/>
            <w:shd w:fill="1B4F46"/>
            <w:tcBorders>
              <w:top w:val="single" w:sz="6" w:space="0" w:color="D5DBE5"/>
              <w:left w:val="single" w:sz="6" w:space="0" w:color="D5DBE5"/>
              <w:bottom w:val="single" w:sz="6" w:space="0" w:color="D5DBE5"/>
              <w:right w:val="single" w:sz="6" w:space="0" w:color="D5DBE5"/>
            </w:tcBorders>
            <w:tcMar>
              <w:top w:w="80" w:type="dxa"/>
              <w:start w:w="110" w:type="dxa"/>
              <w:bottom w:w="80" w:type="dxa"/>
              <w:end w:w="110" w:type="dxa"/>
            </w:tcMar>
            <w:vAlign w:val="center"/>
          </w:tcPr>
          <w:p>
            <w:pPr>
              <w:spacing w:before="0" w:after="40" w:line="252" w:lineRule="auto"/>
              <w:jc w:val="center"/>
            </w:pPr>
            <w:r>
              <w:rPr>
                <w:rFonts w:ascii="Times New Roman" w:hAnsi="Times New Roman"/>
                <w:b/>
                <w:i w:val="0"/>
                <w:color w:val="FFFFFF"/>
                <w:sz w:val="20"/>
                <w:spacing w:val="0"/>
              </w:rPr>
              <w:t>Staff Role</w:t>
            </w:r>
          </w:p>
        </w:tc>
        <w:tc>
          <w:tcPr>
            <w:tcW w:type="dxa" w:w="6660"/>
            <w:shd w:fill="1B4F46"/>
            <w:tcBorders>
              <w:top w:val="single" w:sz="6" w:space="0" w:color="D5DBE5"/>
              <w:left w:val="single" w:sz="6" w:space="0" w:color="D5DBE5"/>
              <w:bottom w:val="single" w:sz="6" w:space="0" w:color="D5DBE5"/>
              <w:right w:val="single" w:sz="6" w:space="0" w:color="D5DBE5"/>
            </w:tcBorders>
            <w:tcMar>
              <w:top w:w="80" w:type="dxa"/>
              <w:start w:w="110" w:type="dxa"/>
              <w:bottom w:w="80" w:type="dxa"/>
              <w:end w:w="110" w:type="dxa"/>
            </w:tcMar>
            <w:vAlign w:val="center"/>
          </w:tcPr>
          <w:p>
            <w:pPr>
              <w:spacing w:before="0" w:after="40" w:line="252" w:lineRule="auto"/>
              <w:jc w:val="center"/>
            </w:pPr>
            <w:r>
              <w:rPr>
                <w:rFonts w:ascii="Times New Roman" w:hAnsi="Times New Roman"/>
                <w:b/>
                <w:i w:val="0"/>
                <w:color w:val="FFFFFF"/>
                <w:sz w:val="20"/>
                <w:spacing w:val="0"/>
              </w:rPr>
              <w:t>What This Looks Like</w:t>
            </w:r>
          </w:p>
        </w:tc>
      </w:tr>
      <w:tr>
        <w:tc>
          <w:tcPr>
            <w:tcW w:type="dxa" w:w="2700"/>
            <w:shd w:fill="F2F7F5"/>
            <w:tcBorders>
              <w:top w:val="single" w:sz="6" w:space="0" w:color="D5DBE5"/>
              <w:left w:val="single" w:sz="6" w:space="0" w:color="D5DBE5"/>
              <w:bottom w:val="single" w:sz="6" w:space="0" w:color="D5DBE5"/>
              <w:right w:val="single" w:sz="6" w:space="0" w:color="D5DBE5"/>
            </w:tcBorders>
            <w:tcMar>
              <w:top w:w="80" w:type="dxa"/>
              <w:start w:w="110" w:type="dxa"/>
              <w:bottom w:w="80" w:type="dxa"/>
              <w:end w:w="110" w:type="dxa"/>
            </w:tcMar>
            <w:vAlign w:val="center"/>
          </w:tcPr>
          <w:p>
            <w:pPr>
              <w:spacing w:before="0" w:after="40" w:line="252" w:lineRule="auto"/>
            </w:pPr>
            <w:r>
              <w:rPr>
                <w:rFonts w:ascii="Times New Roman" w:hAnsi="Times New Roman"/>
                <w:b/>
                <w:i w:val="0"/>
                <w:color w:val="0E2243"/>
                <w:sz w:val="20"/>
                <w:spacing w:val="0"/>
              </w:rPr>
              <w:t>Connect</w:t>
            </w:r>
          </w:p>
        </w:tc>
        <w:tc>
          <w:tcPr>
            <w:tcW w:type="dxa" w:w="6660"/>
            <w:tcBorders>
              <w:top w:val="single" w:sz="6" w:space="0" w:color="D5DBE5"/>
              <w:left w:val="single" w:sz="6" w:space="0" w:color="D5DBE5"/>
              <w:bottom w:val="single" w:sz="6" w:space="0" w:color="D5DBE5"/>
              <w:right w:val="single" w:sz="6" w:space="0" w:color="D5DBE5"/>
            </w:tcBorders>
            <w:tcMar>
              <w:top w:w="80" w:type="dxa"/>
              <w:start w:w="110" w:type="dxa"/>
              <w:bottom w:w="80" w:type="dxa"/>
              <w:end w:w="110" w:type="dxa"/>
            </w:tcMar>
            <w:vAlign w:val="center"/>
          </w:tcPr>
          <w:p>
            <w:pPr>
              <w:spacing w:before="0" w:after="40" w:line="252" w:lineRule="auto"/>
            </w:pPr>
            <w:r>
              <w:rPr>
                <w:rFonts w:ascii="Times New Roman" w:hAnsi="Times New Roman"/>
                <w:b w:val="0"/>
                <w:i w:val="0"/>
                <w:color w:val="0E2243"/>
                <w:sz w:val="20"/>
                <w:spacing w:val="0"/>
              </w:rPr>
              <w:t>Look for natural places where the selected domain already fits current instruction, advising, support, or student experiences.</w:t>
            </w:r>
          </w:p>
        </w:tc>
      </w:tr>
      <w:tr>
        <w:tc>
          <w:tcPr>
            <w:tcW w:type="dxa" w:w="2700"/>
            <w:shd w:fill="F2F7F5"/>
            <w:tcBorders>
              <w:top w:val="single" w:sz="6" w:space="0" w:color="D5DBE5"/>
              <w:left w:val="single" w:sz="6" w:space="0" w:color="D5DBE5"/>
              <w:bottom w:val="single" w:sz="6" w:space="0" w:color="D5DBE5"/>
              <w:right w:val="single" w:sz="6" w:space="0" w:color="D5DBE5"/>
            </w:tcBorders>
            <w:tcMar>
              <w:top w:w="80" w:type="dxa"/>
              <w:start w:w="110" w:type="dxa"/>
              <w:bottom w:w="80" w:type="dxa"/>
              <w:end w:w="110" w:type="dxa"/>
            </w:tcMar>
            <w:vAlign w:val="center"/>
          </w:tcPr>
          <w:p>
            <w:pPr>
              <w:spacing w:before="0" w:after="40" w:line="252" w:lineRule="auto"/>
            </w:pPr>
            <w:r>
              <w:rPr>
                <w:rFonts w:ascii="Times New Roman" w:hAnsi="Times New Roman"/>
                <w:b/>
                <w:i w:val="0"/>
                <w:color w:val="0E2243"/>
                <w:sz w:val="20"/>
                <w:spacing w:val="0"/>
              </w:rPr>
              <w:t>Implement</w:t>
            </w:r>
          </w:p>
        </w:tc>
        <w:tc>
          <w:tcPr>
            <w:tcW w:type="dxa" w:w="6660"/>
            <w:tcBorders>
              <w:top w:val="single" w:sz="6" w:space="0" w:color="D5DBE5"/>
              <w:left w:val="single" w:sz="6" w:space="0" w:color="D5DBE5"/>
              <w:bottom w:val="single" w:sz="6" w:space="0" w:color="D5DBE5"/>
              <w:right w:val="single" w:sz="6" w:space="0" w:color="D5DBE5"/>
            </w:tcBorders>
            <w:tcMar>
              <w:top w:w="80" w:type="dxa"/>
              <w:start w:w="110" w:type="dxa"/>
              <w:bottom w:w="80" w:type="dxa"/>
              <w:end w:w="110" w:type="dxa"/>
            </w:tcMar>
            <w:vAlign w:val="center"/>
          </w:tcPr>
          <w:p>
            <w:pPr>
              <w:spacing w:before="0" w:after="40" w:line="252" w:lineRule="auto"/>
            </w:pPr>
            <w:r>
              <w:rPr>
                <w:rFonts w:ascii="Times New Roman" w:hAnsi="Times New Roman"/>
                <w:b w:val="0"/>
                <w:i w:val="0"/>
                <w:color w:val="0E2243"/>
                <w:sz w:val="20"/>
                <w:spacing w:val="0"/>
              </w:rPr>
              <w:t>Try one or two manageable routines, activities, projects, conversations, or reflection prompts during the first cycle.</w:t>
            </w:r>
          </w:p>
        </w:tc>
      </w:tr>
      <w:tr>
        <w:tc>
          <w:tcPr>
            <w:tcW w:type="dxa" w:w="2700"/>
            <w:shd w:fill="F2F7F5"/>
            <w:tcBorders>
              <w:top w:val="single" w:sz="6" w:space="0" w:color="D5DBE5"/>
              <w:left w:val="single" w:sz="6" w:space="0" w:color="D5DBE5"/>
              <w:bottom w:val="single" w:sz="6" w:space="0" w:color="D5DBE5"/>
              <w:right w:val="single" w:sz="6" w:space="0" w:color="D5DBE5"/>
            </w:tcBorders>
            <w:tcMar>
              <w:top w:w="80" w:type="dxa"/>
              <w:start w:w="110" w:type="dxa"/>
              <w:bottom w:w="80" w:type="dxa"/>
              <w:end w:w="110" w:type="dxa"/>
            </w:tcMar>
            <w:vAlign w:val="center"/>
          </w:tcPr>
          <w:p>
            <w:pPr>
              <w:spacing w:before="0" w:after="40" w:line="252" w:lineRule="auto"/>
            </w:pPr>
            <w:r>
              <w:rPr>
                <w:rFonts w:ascii="Times New Roman" w:hAnsi="Times New Roman"/>
                <w:b/>
                <w:i w:val="0"/>
                <w:color w:val="0E2243"/>
                <w:sz w:val="20"/>
                <w:spacing w:val="0"/>
              </w:rPr>
              <w:t>Reflect</w:t>
            </w:r>
          </w:p>
        </w:tc>
        <w:tc>
          <w:tcPr>
            <w:tcW w:type="dxa" w:w="6660"/>
            <w:tcBorders>
              <w:top w:val="single" w:sz="6" w:space="0" w:color="D5DBE5"/>
              <w:left w:val="single" w:sz="6" w:space="0" w:color="D5DBE5"/>
              <w:bottom w:val="single" w:sz="6" w:space="0" w:color="D5DBE5"/>
              <w:right w:val="single" w:sz="6" w:space="0" w:color="D5DBE5"/>
            </w:tcBorders>
            <w:tcMar>
              <w:top w:w="80" w:type="dxa"/>
              <w:start w:w="110" w:type="dxa"/>
              <w:bottom w:w="80" w:type="dxa"/>
              <w:end w:w="110" w:type="dxa"/>
            </w:tcMar>
            <w:vAlign w:val="center"/>
          </w:tcPr>
          <w:p>
            <w:pPr>
              <w:spacing w:before="0" w:after="40" w:line="252" w:lineRule="auto"/>
            </w:pPr>
            <w:r>
              <w:rPr>
                <w:rFonts w:ascii="Times New Roman" w:hAnsi="Times New Roman"/>
                <w:b w:val="0"/>
                <w:i w:val="0"/>
                <w:color w:val="0E2243"/>
                <w:sz w:val="20"/>
                <w:spacing w:val="0"/>
              </w:rPr>
              <w:t>Notice what students experience, what adults changed, what evidence is visible, and what support would help the work continue.</w:t>
            </w:r>
          </w:p>
        </w:tc>
      </w:tr>
    </w:tbl>
    <w:p>
      <w:pPr>
        <w:spacing w:before="120" w:after="80" w:line="259" w:lineRule="auto"/>
      </w:pPr>
      <w:r>
        <w:rPr>
          <w:rFonts w:ascii="Times New Roman" w:hAnsi="Times New Roman"/>
          <w:b/>
          <w:i w:val="0"/>
          <w:color w:val="1B4F46"/>
          <w:sz w:val="28"/>
          <w:spacing w:val="0"/>
        </w:rPr>
        <w:t>What Happens Next</w:t>
      </w:r>
    </w:p>
    <w:tbl>
      <w:tblPr>
        <w:tblW w:type="dxa" w:w="9360"/>
        <w:tblLook w:firstColumn="1" w:firstRow="1" w:lastColumn="0" w:lastRow="0" w:noHBand="0" w:noVBand="1" w:val="04A0"/>
        <w:tblLayout w:type="fixed"/>
      </w:tblPr>
      <w:tblGrid>
        <w:gridCol w:w="2500"/>
        <w:gridCol w:w="6860"/>
      </w:tblGrid>
      <w:tr>
        <w:tc>
          <w:tcPr>
            <w:tcW w:type="dxa" w:w="2500"/>
            <w:shd w:fill="1B4F46"/>
            <w:tcBorders>
              <w:top w:val="single" w:sz="6" w:space="0" w:color="D5DBE5"/>
              <w:left w:val="single" w:sz="6" w:space="0" w:color="D5DBE5"/>
              <w:bottom w:val="single" w:sz="6" w:space="0" w:color="D5DBE5"/>
              <w:right w:val="single" w:sz="6" w:space="0" w:color="D5DBE5"/>
            </w:tcBorders>
            <w:tcMar>
              <w:top w:w="80" w:type="dxa"/>
              <w:start w:w="110" w:type="dxa"/>
              <w:bottom w:w="80" w:type="dxa"/>
              <w:end w:w="110" w:type="dxa"/>
            </w:tcMar>
            <w:vAlign w:val="center"/>
          </w:tcPr>
          <w:p>
            <w:pPr>
              <w:spacing w:before="0" w:after="40" w:line="252" w:lineRule="auto"/>
              <w:jc w:val="center"/>
            </w:pPr>
            <w:r>
              <w:rPr>
                <w:rFonts w:ascii="Times New Roman" w:hAnsi="Times New Roman"/>
                <w:b/>
                <w:i w:val="0"/>
                <w:color w:val="FFFFFF"/>
                <w:sz w:val="20"/>
                <w:spacing w:val="0"/>
              </w:rPr>
              <w:t>Step</w:t>
            </w:r>
          </w:p>
        </w:tc>
        <w:tc>
          <w:tcPr>
            <w:tcW w:type="dxa" w:w="6860"/>
            <w:shd w:fill="1B4F46"/>
            <w:tcBorders>
              <w:top w:val="single" w:sz="6" w:space="0" w:color="D5DBE5"/>
              <w:left w:val="single" w:sz="6" w:space="0" w:color="D5DBE5"/>
              <w:bottom w:val="single" w:sz="6" w:space="0" w:color="D5DBE5"/>
              <w:right w:val="single" w:sz="6" w:space="0" w:color="D5DBE5"/>
            </w:tcBorders>
            <w:tcMar>
              <w:top w:w="80" w:type="dxa"/>
              <w:start w:w="110" w:type="dxa"/>
              <w:bottom w:w="80" w:type="dxa"/>
              <w:end w:w="110" w:type="dxa"/>
            </w:tcMar>
            <w:vAlign w:val="center"/>
          </w:tcPr>
          <w:p>
            <w:pPr>
              <w:spacing w:before="0" w:after="40" w:line="252" w:lineRule="auto"/>
              <w:jc w:val="center"/>
            </w:pPr>
            <w:r>
              <w:rPr>
                <w:rFonts w:ascii="Times New Roman" w:hAnsi="Times New Roman"/>
                <w:b/>
                <w:i w:val="0"/>
                <w:color w:val="FFFFFF"/>
                <w:sz w:val="20"/>
                <w:spacing w:val="0"/>
              </w:rPr>
              <w:t>What Happens</w:t>
            </w:r>
          </w:p>
        </w:tc>
      </w:tr>
      <w:tr>
        <w:tc>
          <w:tcPr>
            <w:tcW w:type="dxa" w:w="2500"/>
            <w:shd w:fill="F2F7F5"/>
            <w:tcBorders>
              <w:top w:val="single" w:sz="6" w:space="0" w:color="D5DBE5"/>
              <w:left w:val="single" w:sz="6" w:space="0" w:color="D5DBE5"/>
              <w:bottom w:val="single" w:sz="6" w:space="0" w:color="D5DBE5"/>
              <w:right w:val="single" w:sz="6" w:space="0" w:color="D5DBE5"/>
            </w:tcBorders>
            <w:tcMar>
              <w:top w:w="80" w:type="dxa"/>
              <w:start w:w="110" w:type="dxa"/>
              <w:bottom w:w="80" w:type="dxa"/>
              <w:end w:w="110" w:type="dxa"/>
            </w:tcMar>
            <w:vAlign w:val="center"/>
          </w:tcPr>
          <w:p>
            <w:pPr>
              <w:spacing w:before="0" w:after="40" w:line="252" w:lineRule="auto"/>
            </w:pPr>
            <w:r>
              <w:rPr>
                <w:rFonts w:ascii="Times New Roman" w:hAnsi="Times New Roman"/>
                <w:b/>
                <w:i w:val="0"/>
                <w:color w:val="0E2243"/>
                <w:sz w:val="20"/>
                <w:spacing w:val="0"/>
              </w:rPr>
              <w:t>1. Launch meeting</w:t>
            </w:r>
          </w:p>
        </w:tc>
        <w:tc>
          <w:tcPr>
            <w:tcW w:type="dxa" w:w="6860"/>
            <w:tcBorders>
              <w:top w:val="single" w:sz="6" w:space="0" w:color="D5DBE5"/>
              <w:left w:val="single" w:sz="6" w:space="0" w:color="D5DBE5"/>
              <w:bottom w:val="single" w:sz="6" w:space="0" w:color="D5DBE5"/>
              <w:right w:val="single" w:sz="6" w:space="0" w:color="D5DBE5"/>
            </w:tcBorders>
            <w:tcMar>
              <w:top w:w="80" w:type="dxa"/>
              <w:start w:w="110" w:type="dxa"/>
              <w:bottom w:w="80" w:type="dxa"/>
              <w:end w:w="110" w:type="dxa"/>
            </w:tcMar>
            <w:vAlign w:val="center"/>
          </w:tcPr>
          <w:p>
            <w:pPr>
              <w:spacing w:before="0" w:after="40" w:line="252" w:lineRule="auto"/>
            </w:pPr>
            <w:r>
              <w:rPr>
                <w:rFonts w:ascii="Times New Roman" w:hAnsi="Times New Roman"/>
                <w:b w:val="0"/>
                <w:i w:val="0"/>
                <w:color w:val="0E2243"/>
                <w:sz w:val="20"/>
                <w:spacing w:val="0"/>
              </w:rPr>
              <w:t>Staff review the district direction, selected domain, grade bands, and first-cycle timeline.</w:t>
            </w:r>
          </w:p>
        </w:tc>
      </w:tr>
      <w:tr>
        <w:tc>
          <w:tcPr>
            <w:tcW w:type="dxa" w:w="2500"/>
            <w:shd w:fill="F2F7F5"/>
            <w:tcBorders>
              <w:top w:val="single" w:sz="6" w:space="0" w:color="D5DBE5"/>
              <w:left w:val="single" w:sz="6" w:space="0" w:color="D5DBE5"/>
              <w:bottom w:val="single" w:sz="6" w:space="0" w:color="D5DBE5"/>
              <w:right w:val="single" w:sz="6" w:space="0" w:color="D5DBE5"/>
            </w:tcBorders>
            <w:tcMar>
              <w:top w:w="80" w:type="dxa"/>
              <w:start w:w="110" w:type="dxa"/>
              <w:bottom w:w="80" w:type="dxa"/>
              <w:end w:w="110" w:type="dxa"/>
            </w:tcMar>
            <w:vAlign w:val="center"/>
          </w:tcPr>
          <w:p>
            <w:pPr>
              <w:spacing w:before="0" w:after="40" w:line="252" w:lineRule="auto"/>
            </w:pPr>
            <w:r>
              <w:rPr>
                <w:rFonts w:ascii="Times New Roman" w:hAnsi="Times New Roman"/>
                <w:b/>
                <w:i w:val="0"/>
                <w:color w:val="0E2243"/>
                <w:sz w:val="20"/>
                <w:spacing w:val="0"/>
              </w:rPr>
              <w:t>2. Building planning</w:t>
            </w:r>
          </w:p>
        </w:tc>
        <w:tc>
          <w:tcPr>
            <w:tcW w:type="dxa" w:w="6860"/>
            <w:tcBorders>
              <w:top w:val="single" w:sz="6" w:space="0" w:color="D5DBE5"/>
              <w:left w:val="single" w:sz="6" w:space="0" w:color="D5DBE5"/>
              <w:bottom w:val="single" w:sz="6" w:space="0" w:color="D5DBE5"/>
              <w:right w:val="single" w:sz="6" w:space="0" w:color="D5DBE5"/>
            </w:tcBorders>
            <w:tcMar>
              <w:top w:w="80" w:type="dxa"/>
              <w:start w:w="110" w:type="dxa"/>
              <w:bottom w:w="80" w:type="dxa"/>
              <w:end w:w="110" w:type="dxa"/>
            </w:tcMar>
            <w:vAlign w:val="center"/>
          </w:tcPr>
          <w:p>
            <w:pPr>
              <w:spacing w:before="0" w:after="40" w:line="252" w:lineRule="auto"/>
            </w:pPr>
            <w:r>
              <w:rPr>
                <w:rFonts w:ascii="Times New Roman" w:hAnsi="Times New Roman"/>
                <w:b w:val="0"/>
                <w:i w:val="0"/>
                <w:color w:val="0E2243"/>
                <w:sz w:val="20"/>
                <w:spacing w:val="0"/>
              </w:rPr>
              <w:t>Teams identify practical first actions and the lightweight evidence they can review.</w:t>
            </w:r>
          </w:p>
        </w:tc>
      </w:tr>
      <w:tr>
        <w:tc>
          <w:tcPr>
            <w:tcW w:type="dxa" w:w="2500"/>
            <w:shd w:fill="F2F7F5"/>
            <w:tcBorders>
              <w:top w:val="single" w:sz="6" w:space="0" w:color="D5DBE5"/>
              <w:left w:val="single" w:sz="6" w:space="0" w:color="D5DBE5"/>
              <w:bottom w:val="single" w:sz="6" w:space="0" w:color="D5DBE5"/>
              <w:right w:val="single" w:sz="6" w:space="0" w:color="D5DBE5"/>
            </w:tcBorders>
            <w:tcMar>
              <w:top w:w="80" w:type="dxa"/>
              <w:start w:w="110" w:type="dxa"/>
              <w:bottom w:w="80" w:type="dxa"/>
              <w:end w:w="110" w:type="dxa"/>
            </w:tcMar>
            <w:vAlign w:val="center"/>
          </w:tcPr>
          <w:p>
            <w:pPr>
              <w:spacing w:before="0" w:after="40" w:line="252" w:lineRule="auto"/>
            </w:pPr>
            <w:r>
              <w:rPr>
                <w:rFonts w:ascii="Times New Roman" w:hAnsi="Times New Roman"/>
                <w:b/>
                <w:i w:val="0"/>
                <w:color w:val="0E2243"/>
                <w:sz w:val="20"/>
                <w:spacing w:val="0"/>
              </w:rPr>
              <w:t>3. Implementation</w:t>
            </w:r>
          </w:p>
        </w:tc>
        <w:tc>
          <w:tcPr>
            <w:tcW w:type="dxa" w:w="6860"/>
            <w:tcBorders>
              <w:top w:val="single" w:sz="6" w:space="0" w:color="D5DBE5"/>
              <w:left w:val="single" w:sz="6" w:space="0" w:color="D5DBE5"/>
              <w:bottom w:val="single" w:sz="6" w:space="0" w:color="D5DBE5"/>
              <w:right w:val="single" w:sz="6" w:space="0" w:color="D5DBE5"/>
            </w:tcBorders>
            <w:tcMar>
              <w:top w:w="80" w:type="dxa"/>
              <w:start w:w="110" w:type="dxa"/>
              <w:bottom w:w="80" w:type="dxa"/>
              <w:end w:w="110" w:type="dxa"/>
            </w:tcMar>
            <w:vAlign w:val="center"/>
          </w:tcPr>
          <w:p>
            <w:pPr>
              <w:spacing w:before="0" w:after="40" w:line="252" w:lineRule="auto"/>
            </w:pPr>
            <w:r>
              <w:rPr>
                <w:rFonts w:ascii="Times New Roman" w:hAnsi="Times New Roman"/>
                <w:b w:val="0"/>
                <w:i w:val="0"/>
                <w:color w:val="0E2243"/>
                <w:sz w:val="20"/>
                <w:spacing w:val="0"/>
              </w:rPr>
              <w:t>Staff embed the selected work into existing instruction, advising, support routines, or student experiences.</w:t>
            </w:r>
          </w:p>
        </w:tc>
      </w:tr>
      <w:tr>
        <w:tc>
          <w:tcPr>
            <w:tcW w:type="dxa" w:w="2500"/>
            <w:shd w:fill="F2F7F5"/>
            <w:tcBorders>
              <w:top w:val="single" w:sz="6" w:space="0" w:color="D5DBE5"/>
              <w:left w:val="single" w:sz="6" w:space="0" w:color="D5DBE5"/>
              <w:bottom w:val="single" w:sz="6" w:space="0" w:color="D5DBE5"/>
              <w:right w:val="single" w:sz="6" w:space="0" w:color="D5DBE5"/>
            </w:tcBorders>
            <w:tcMar>
              <w:top w:w="80" w:type="dxa"/>
              <w:start w:w="110" w:type="dxa"/>
              <w:bottom w:w="80" w:type="dxa"/>
              <w:end w:w="110" w:type="dxa"/>
            </w:tcMar>
            <w:vAlign w:val="center"/>
          </w:tcPr>
          <w:p>
            <w:pPr>
              <w:spacing w:before="0" w:after="40" w:line="252" w:lineRule="auto"/>
            </w:pPr>
            <w:r>
              <w:rPr>
                <w:rFonts w:ascii="Times New Roman" w:hAnsi="Times New Roman"/>
                <w:b/>
                <w:i w:val="0"/>
                <w:color w:val="0E2243"/>
                <w:sz w:val="20"/>
                <w:spacing w:val="0"/>
              </w:rPr>
              <w:t>4. Quarterly update</w:t>
            </w:r>
          </w:p>
        </w:tc>
        <w:tc>
          <w:tcPr>
            <w:tcW w:type="dxa" w:w="6860"/>
            <w:tcBorders>
              <w:top w:val="single" w:sz="6" w:space="0" w:color="D5DBE5"/>
              <w:left w:val="single" w:sz="6" w:space="0" w:color="D5DBE5"/>
              <w:bottom w:val="single" w:sz="6" w:space="0" w:color="D5DBE5"/>
              <w:right w:val="single" w:sz="6" w:space="0" w:color="D5DBE5"/>
            </w:tcBorders>
            <w:tcMar>
              <w:top w:w="80" w:type="dxa"/>
              <w:start w:w="110" w:type="dxa"/>
              <w:bottom w:w="80" w:type="dxa"/>
              <w:end w:w="110" w:type="dxa"/>
            </w:tcMar>
            <w:vAlign w:val="center"/>
          </w:tcPr>
          <w:p>
            <w:pPr>
              <w:spacing w:before="0" w:after="40" w:line="252" w:lineRule="auto"/>
            </w:pPr>
            <w:r>
              <w:rPr>
                <w:rFonts w:ascii="Times New Roman" w:hAnsi="Times New Roman"/>
                <w:b w:val="0"/>
                <w:i w:val="0"/>
                <w:color w:val="0E2243"/>
                <w:sz w:val="20"/>
                <w:spacing w:val="0"/>
              </w:rPr>
              <w:t>The building summarizes implementation, evidence, barriers, support needs, and next steps for district review.</w:t>
            </w:r>
          </w:p>
        </w:tc>
      </w:tr>
    </w:tbl>
    <w:p>
      <w:pPr>
        <w:spacing w:before="120" w:after="80" w:line="259" w:lineRule="auto"/>
      </w:pPr>
      <w:r>
        <w:rPr>
          <w:rFonts w:ascii="Times New Roman" w:hAnsi="Times New Roman"/>
          <w:b/>
          <w:i w:val="0"/>
          <w:color w:val="1B4F46"/>
          <w:sz w:val="28"/>
          <w:spacing w:val="0"/>
        </w:rPr>
        <w:t>Lightweight Evidence Examples</w:t>
      </w:r>
    </w:p>
    <w:p>
      <w:pPr>
        <w:pStyle w:val="ListBullet"/>
        <w:spacing w:before="0" w:after="40" w:line="259" w:lineRule="auto"/>
        <w:ind w:left="331" w:hanging="202"/>
      </w:pPr>
      <w:r>
        <w:rPr>
          <w:rFonts w:ascii="Times New Roman" w:hAnsi="Times New Roman"/>
          <w:b w:val="0"/>
          <w:i w:val="0"/>
          <w:color w:val="0E2243"/>
          <w:sz w:val="21"/>
          <w:spacing w:val="0"/>
        </w:rPr>
        <w:t>Student exit tickets, reflection prompts, short surveys, or conference notes.</w:t>
      </w:r>
    </w:p>
    <w:p>
      <w:pPr>
        <w:pStyle w:val="ListBullet"/>
        <w:spacing w:before="0" w:after="40" w:line="259" w:lineRule="auto"/>
        <w:ind w:left="331" w:hanging="202"/>
      </w:pPr>
      <w:r>
        <w:rPr>
          <w:rFonts w:ascii="Times New Roman" w:hAnsi="Times New Roman"/>
          <w:b w:val="0"/>
          <w:i w:val="0"/>
          <w:color w:val="0E2243"/>
          <w:sz w:val="21"/>
          <w:spacing w:val="0"/>
        </w:rPr>
        <w:t>Lesson plans, advisory plans, project outlines, rubrics, or student work patterns.</w:t>
      </w:r>
    </w:p>
    <w:p>
      <w:pPr>
        <w:pStyle w:val="ListBullet"/>
        <w:spacing w:before="0" w:after="40" w:line="259" w:lineRule="auto"/>
        <w:ind w:left="331" w:hanging="202"/>
      </w:pPr>
      <w:r>
        <w:rPr>
          <w:rFonts w:ascii="Times New Roman" w:hAnsi="Times New Roman"/>
          <w:b w:val="0"/>
          <w:i w:val="0"/>
          <w:color w:val="0E2243"/>
          <w:sz w:val="21"/>
          <w:spacing w:val="0"/>
        </w:rPr>
        <w:t>Counselor check-in summaries, pathway planning counts, participation summaries, or team meeting notes.</w:t>
      </w:r>
    </w:p>
    <w:p>
      <w:pPr>
        <w:pStyle w:val="ListBullet"/>
        <w:spacing w:before="0" w:after="40" w:line="259" w:lineRule="auto"/>
        <w:ind w:left="331" w:hanging="202"/>
      </w:pPr>
      <w:r>
        <w:rPr>
          <w:rFonts w:ascii="Times New Roman" w:hAnsi="Times New Roman"/>
          <w:b w:val="0"/>
          <w:i w:val="0"/>
          <w:color w:val="0E2243"/>
          <w:sz w:val="21"/>
          <w:spacing w:val="0"/>
        </w:rPr>
        <w:t>Staff reflections, coaching notes, implementation checklists, or evidence review notes.</w:t>
      </w:r>
    </w:p>
    <w:tbl>
      <w:tblPr>
        <w:tblW w:type="dxa" w:w="9360"/>
        <w:tblLook w:firstColumn="1" w:firstRow="1" w:lastColumn="0" w:lastRow="0" w:noHBand="0" w:noVBand="1" w:val="04A0"/>
        <w:tblLayout w:type="fixed"/>
      </w:tblPr>
      <w:tblGrid>
        <w:gridCol w:w="9360"/>
      </w:tblGrid>
      <w:tr>
        <w:tc>
          <w:tcPr>
            <w:tcW w:type="dxa" w:w="9360"/>
            <w:shd w:fill="F2F7F5"/>
            <w:tcBorders>
              <w:top w:val="single" w:sz="6" w:space="0" w:color="C8DAD4"/>
              <w:left w:val="single" w:sz="6" w:space="0" w:color="C8DAD4"/>
              <w:bottom w:val="single" w:sz="6" w:space="0" w:color="C8DAD4"/>
              <w:right w:val="single" w:sz="6" w:space="0" w:color="C8DAD4"/>
            </w:tcBorders>
            <w:tcMar>
              <w:top w:w="120" w:type="dxa"/>
              <w:start w:w="150" w:type="dxa"/>
              <w:bottom w:w="120" w:type="dxa"/>
              <w:end w:w="150" w:type="dxa"/>
            </w:tcMar>
          </w:tcPr>
          <w:p>
            <w:pPr>
              <w:spacing w:before="0" w:after="60" w:line="252" w:lineRule="auto"/>
            </w:pPr>
            <w:r>
              <w:rPr>
                <w:rFonts w:ascii="Times New Roman" w:hAnsi="Times New Roman"/>
                <w:b/>
                <w:i w:val="0"/>
                <w:color w:val="1B4F46"/>
                <w:sz w:val="22"/>
                <w:spacing w:val="0"/>
              </w:rPr>
              <w:t>The Big Idea</w:t>
            </w:r>
          </w:p>
          <w:p>
            <w:pPr>
              <w:spacing w:before="0" w:after="0" w:line="252" w:lineRule="auto"/>
            </w:pPr>
            <w:r>
              <w:rPr>
                <w:rFonts w:ascii="Times New Roman" w:hAnsi="Times New Roman"/>
                <w:b w:val="0"/>
                <w:i w:val="0"/>
                <w:color w:val="0E2243"/>
                <w:sz w:val="21"/>
                <w:spacing w:val="0"/>
              </w:rPr>
              <w:t>This is not a separate program. It is a more intentional way to help students understand where they are going, why learning matters, what skills they are developing, and how school is preparing them for life after high school.</w:t>
            </w:r>
          </w:p>
        </w:tc>
      </w:tr>
    </w:tbl>
    <w:p>
      <w:pPr>
        <w:spacing w:before="0" w:after="20" w:line="259" w:lineRule="auto"/>
      </w:pPr>
      <w:r>
        <w:rPr>
          <w:rFonts w:ascii="Times New Roman" w:hAnsi="Times New Roman"/>
          <w:b w:val="0"/>
          <w:i w:val="0"/>
          <w:color w:val="0E2243"/>
          <w:sz w:val="21"/>
          <w:spacing w:val="0"/>
        </w:rPr>
      </w:r>
    </w:p>
    <w:sectPr w:rsidR="00FC693F" w:rsidRPr="0006063C" w:rsidSect="00034616">
      <w:pgSz w:w="12240" w:h="15840"/>
      <w:pgMar w:top="792" w:right="1080" w:bottom="792"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color w:val="0E224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Times New Roman" w:hAnsi="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