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9864"/>
        <w:jc w:val="center"/>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9864"/>
      </w:tblGrid>
      <w:tr>
        <w:tc>
          <w:tcPr>
            <w:tcW w:type="dxa" w:w="9864"/>
            <w:shd w:fill="1B4F46"/>
            <w:tcMar>
              <w:top w:w="210" w:type="dxa"/>
              <w:start w:w="240" w:type="dxa"/>
              <w:bottom w:w="220" w:type="dxa"/>
              <w:end w:w="240" w:type="dxa"/>
            </w:tcMar>
            <w:tcBorders>
              <w:top w:val="nil" w:sz="0" w:space="0" w:color="auto"/>
              <w:bottom w:val="nil" w:sz="0" w:space="0" w:color="auto"/>
              <w:left w:val="single" w:sz="6" w:space="0" w:color="DDE9E5"/>
              <w:right w:val="single" w:sz="6" w:space="0" w:color="DDE9E5"/>
            </w:tcBorders>
          </w:tcPr>
          <w:p>
            <w:pPr>
              <w:spacing w:after="80"/>
              <w:jc w:val="center"/>
            </w:pPr>
            <w:r>
              <w:rPr>
                <w:rFonts w:ascii="Georgia" w:hAnsi="Georgia"/>
                <w:b/>
                <w:i w:val="0"/>
                <w:color w:val="FFFFFF"/>
                <w:sz w:val="40"/>
              </w:rPr>
              <w:t>Principal Launch Roadmap</w:t>
            </w:r>
          </w:p>
          <w:p>
            <w:pPr>
              <w:jc w:val="center"/>
            </w:pPr>
            <w:r>
              <w:rPr>
                <w:rFonts w:ascii="Times New Roman" w:hAnsi="Times New Roman"/>
                <w:b/>
                <w:i w:val="0"/>
                <w:color w:val="DDE9E5"/>
                <w:sz w:val="24"/>
              </w:rPr>
              <w:t>Coordinated Student Support System | Building Leader Guide</w:t>
            </w:r>
          </w:p>
        </w:tc>
      </w:tr>
    </w:tbl>
    <w:p/>
    <w:tbl>
      <w:tblPr>
        <w:tblW w:type="dxa" w:w="9864"/>
        <w:jc w:val="center"/>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9864"/>
      </w:tblGrid>
      <w:tr>
        <w:tc>
          <w:tcPr>
            <w:tcW w:type="dxa" w:w="9864"/>
            <w:shd w:fill="EEF6F3"/>
            <w:tcMar>
              <w:top w:w="140" w:type="dxa"/>
              <w:start w:w="170" w:type="dxa"/>
              <w:bottom w:w="140" w:type="dxa"/>
              <w:end w:w="170" w:type="dxa"/>
            </w:tcMar>
            <w:tcBorders>
              <w:top w:val="nil" w:sz="0" w:space="0" w:color="auto"/>
              <w:bottom w:val="nil" w:sz="0" w:space="0" w:color="auto"/>
              <w:left w:val="single" w:sz="6" w:space="0" w:color="DDE9E5"/>
              <w:right w:val="single" w:sz="6" w:space="0" w:color="DDE9E5"/>
            </w:tcBorders>
          </w:tcPr>
          <w:p>
            <w:pPr>
              <w:spacing w:after="0"/>
            </w:pPr>
            <w:r>
              <w:rPr>
                <w:rFonts w:ascii="Times New Roman" w:hAnsi="Times New Roman"/>
                <w:b/>
                <w:i w:val="0"/>
                <w:color w:val="0E2243"/>
                <w:sz w:val="24"/>
              </w:rPr>
              <w:t xml:space="preserve">Purpose: </w:t>
            </w:r>
            <w:r>
              <w:rPr>
                <w:rFonts w:ascii="Times New Roman" w:hAnsi="Times New Roman"/>
                <w:b w:val="0"/>
                <w:i w:val="0"/>
                <w:color w:val="1E2A3A"/>
                <w:sz w:val="24"/>
              </w:rPr>
              <w:t>A practical launch guide for principals and building leaders introducing the coordinated student support process to staff.</w:t>
            </w:r>
          </w:p>
        </w:tc>
      </w:tr>
    </w:tbl>
    <w:p/>
    <w:tbl>
      <w:tblPr>
        <w:tblW w:type="dxa" w:w="9864"/>
        <w:jc w:val="center"/>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9864"/>
      </w:tblGrid>
      <w:tr>
        <w:tc>
          <w:tcPr>
            <w:tcW w:type="dxa" w:w="9864"/>
            <w:shd w:fill="EEF6F3"/>
            <w:tcMar>
              <w:top w:w="140" w:type="dxa"/>
              <w:start w:w="170" w:type="dxa"/>
              <w:bottom w:w="140" w:type="dxa"/>
              <w:end w:w="170" w:type="dxa"/>
            </w:tcMar>
            <w:tcBorders>
              <w:top w:val="nil" w:sz="0" w:space="0" w:color="auto"/>
              <w:bottom w:val="nil" w:sz="0" w:space="0" w:color="auto"/>
              <w:left w:val="single" w:sz="6" w:space="0" w:color="DDE9E5"/>
              <w:right w:val="single" w:sz="6" w:space="0" w:color="DDE9E5"/>
            </w:tcBorders>
          </w:tcPr>
          <w:p>
            <w:pPr>
              <w:spacing w:after="0"/>
            </w:pPr>
            <w:r>
              <w:rPr>
                <w:rFonts w:ascii="Times New Roman" w:hAnsi="Times New Roman"/>
                <w:b/>
                <w:i w:val="0"/>
                <w:color w:val="0E2243"/>
                <w:sz w:val="24"/>
              </w:rPr>
              <w:t xml:space="preserve">Launch Message: </w:t>
            </w:r>
            <w:r>
              <w:rPr>
                <w:rFonts w:ascii="Times New Roman" w:hAnsi="Times New Roman"/>
                <w:b w:val="0"/>
                <w:i w:val="0"/>
                <w:color w:val="1E2A3A"/>
                <w:sz w:val="24"/>
              </w:rPr>
              <w:t>This process is designed to support teacher safety, protect instructional time, strengthen student connection, and ensure staff are not left to manage persistent student concerns alone.</w:t>
            </w:r>
          </w:p>
        </w:tc>
      </w:tr>
    </w:tbl>
    <w:p/>
    <w:p>
      <w:pPr>
        <w:pStyle w:val="Heading1"/>
      </w:pPr>
      <w:r>
        <w:t>Principal Role</w:t>
      </w:r>
    </w:p>
    <w:p>
      <w:r>
        <w:t>The principal's role is to protect the conditions that make the system work. That means creating time for the team to meet, making the process visible to staff, reinforcing the safety boundary, removing implementation barriers, and ensuring communication loops are closed.</w:t>
      </w:r>
    </w:p>
    <w:p>
      <w:pPr>
        <w:pStyle w:val="Heading1"/>
      </w:pPr>
      <w:r>
        <w:t>Step 1: Prepare the Core Team</w:t>
      </w:r>
    </w:p>
    <w:p>
      <w:r>
        <w:t>Before presenting the process to the full staff, meet with the school-level leaders who will help operate the system.</w:t>
      </w:r>
    </w:p>
    <w:tbl>
      <w:tblPr>
        <w:tblW w:type="dxa" w:w="9864"/>
        <w:jc w:val="center"/>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3816"/>
        <w:gridCol w:w="6048"/>
      </w:tblGrid>
      <w:tr>
        <w:tc>
          <w:tcPr>
            <w:tcW w:type="dxa" w:w="3816"/>
            <w:shd w:fill="1B4F46"/>
            <w:tcBorders>
              <w:top w:val="nil" w:sz="0" w:space="0" w:color="auto"/>
              <w:left w:val="single" w:sz="6" w:space="0" w:color="DDE9E5"/>
              <w:bottom w:val="nil" w:sz="0" w:space="0" w:color="auto"/>
              <w:right w:val="single" w:sz="6" w:space="0" w:color="DDE9E5"/>
            </w:tcBorders>
            <w:tcMar>
              <w:top w:w="110" w:type="dxa"/>
              <w:start w:w="120" w:type="dxa"/>
              <w:bottom w:w="110" w:type="dxa"/>
              <w:end w:w="120" w:type="dxa"/>
            </w:tcMar>
            <w:vAlign w:val="center"/>
          </w:tcPr>
          <w:p>
            <w:pPr>
              <w:spacing w:after="0" w:line="259" w:lineRule="auto"/>
              <w:jc w:val="center"/>
            </w:pPr>
            <w:r/>
            <w:r>
              <w:rPr>
                <w:rFonts w:ascii="Times New Roman" w:hAnsi="Times New Roman"/>
                <w:b/>
                <w:i w:val="0"/>
                <w:color w:val="FFFFFF"/>
                <w:sz w:val="22"/>
              </w:rPr>
              <w:t>Preparation Item</w:t>
            </w:r>
          </w:p>
        </w:tc>
        <w:tc>
          <w:tcPr>
            <w:tcW w:type="dxa" w:w="6048"/>
            <w:shd w:fill="1B4F46"/>
            <w:tcBorders>
              <w:top w:val="nil" w:sz="0" w:space="0" w:color="auto"/>
              <w:left w:val="single" w:sz="6" w:space="0" w:color="DDE9E5"/>
              <w:bottom w:val="nil" w:sz="0" w:space="0" w:color="auto"/>
              <w:right w:val="single" w:sz="6" w:space="0" w:color="DDE9E5"/>
            </w:tcBorders>
            <w:tcMar>
              <w:top w:w="110" w:type="dxa"/>
              <w:start w:w="120" w:type="dxa"/>
              <w:bottom w:w="110" w:type="dxa"/>
              <w:end w:w="120" w:type="dxa"/>
            </w:tcMar>
            <w:vAlign w:val="center"/>
          </w:tcPr>
          <w:p>
            <w:pPr>
              <w:spacing w:after="0" w:line="259" w:lineRule="auto"/>
              <w:jc w:val="center"/>
            </w:pPr>
            <w:r/>
            <w:r>
              <w:rPr>
                <w:rFonts w:ascii="Times New Roman" w:hAnsi="Times New Roman"/>
                <w:b/>
                <w:i w:val="0"/>
                <w:color w:val="FFFFFF"/>
                <w:sz w:val="22"/>
              </w:rPr>
              <w:t>Principal / Team Action</w:t>
            </w:r>
          </w:p>
        </w:tc>
      </w:tr>
      <w:tr>
        <w:tc>
          <w:tcPr>
            <w:tcW w:type="dxa" w:w="3816"/>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Confirm the weekly meeting time</w:t>
            </w:r>
          </w:p>
        </w:tc>
        <w:tc>
          <w:tcPr>
            <w:tcW w:type="dxa" w:w="6048"/>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Protect a recurring weekly Student Support Team meeting on the building calendar.</w:t>
            </w:r>
          </w:p>
        </w:tc>
      </w:tr>
      <w:tr>
        <w:tc>
          <w:tcPr>
            <w:tcW w:type="dxa" w:w="3816"/>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Assign meeting roles</w:t>
            </w:r>
          </w:p>
        </w:tc>
        <w:tc>
          <w:tcPr>
            <w:tcW w:type="dxa" w:w="6048"/>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Identify the facilitator, live recorder, administrator, and Student support specialist / counselor / mental health representative.</w:t>
            </w:r>
          </w:p>
        </w:tc>
      </w:tr>
      <w:tr>
        <w:tc>
          <w:tcPr>
            <w:tcW w:type="dxa" w:w="3816"/>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Confirm the concern-form review process</w:t>
            </w:r>
          </w:p>
        </w:tc>
        <w:tc>
          <w:tcPr>
            <w:tcW w:type="dxa" w:w="6048"/>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Identify who checks submitted Staff Student Concern Forms and routes any mistakenly submitted urgent safety concern to the district emergency protocol immediately.</w:t>
            </w:r>
          </w:p>
        </w:tc>
      </w:tr>
      <w:tr>
        <w:tc>
          <w:tcPr>
            <w:tcW w:type="dxa" w:w="3816"/>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Confirm document location</w:t>
            </w:r>
          </w:p>
        </w:tc>
        <w:tc>
          <w:tcPr>
            <w:tcW w:type="dxa" w:w="6048"/>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Place current forms and guides in the building's approved shared location or staff portal.</w:t>
            </w:r>
          </w:p>
        </w:tc>
      </w:tr>
      <w:tr>
        <w:tc>
          <w:tcPr>
            <w:tcW w:type="dxa" w:w="3816"/>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Clarify communication expectations</w:t>
            </w:r>
          </w:p>
        </w:tc>
        <w:tc>
          <w:tcPr>
            <w:tcW w:type="dxa" w:w="6048"/>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Confirm how referring staff members will receive communication after the team reviews a concern.</w:t>
            </w:r>
          </w:p>
        </w:tc>
      </w:tr>
    </w:tbl>
    <w:p/>
    <w:p>
      <w:pPr>
        <w:pStyle w:val="Heading1"/>
      </w:pPr>
      <w:r>
        <w:t>Step 2: Introduce the Process to Staff</w:t>
      </w:r>
    </w:p>
    <w:p>
      <w:r>
        <w:t>Present the process as a support structure, not a compliance task. Staff need to understand that the system exists to help them report observable concerns early and receive coordinated follow-through.</w:t>
      </w:r>
    </w:p>
    <w:tbl>
      <w:tblPr>
        <w:tblW w:type="dxa" w:w="9864"/>
        <w:jc w:val="center"/>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3384"/>
        <w:gridCol w:w="6480"/>
      </w:tblGrid>
      <w:tr>
        <w:tc>
          <w:tcPr>
            <w:tcW w:type="dxa" w:w="3384"/>
            <w:shd w:fill="1B4F46"/>
            <w:tcBorders>
              <w:top w:val="nil" w:sz="0" w:space="0" w:color="auto"/>
              <w:left w:val="single" w:sz="6" w:space="0" w:color="DDE9E5"/>
              <w:bottom w:val="nil" w:sz="0" w:space="0" w:color="auto"/>
              <w:right w:val="single" w:sz="6" w:space="0" w:color="DDE9E5"/>
            </w:tcBorders>
            <w:tcMar>
              <w:top w:w="110" w:type="dxa"/>
              <w:start w:w="120" w:type="dxa"/>
              <w:bottom w:w="110" w:type="dxa"/>
              <w:end w:w="120" w:type="dxa"/>
            </w:tcMar>
            <w:vAlign w:val="center"/>
          </w:tcPr>
          <w:p>
            <w:pPr>
              <w:spacing w:after="0" w:line="259" w:lineRule="auto"/>
              <w:jc w:val="center"/>
            </w:pPr>
            <w:r/>
            <w:r>
              <w:rPr>
                <w:rFonts w:ascii="Times New Roman" w:hAnsi="Times New Roman"/>
                <w:b/>
                <w:i w:val="0"/>
                <w:color w:val="FFFFFF"/>
                <w:sz w:val="22"/>
              </w:rPr>
              <w:t>Staff Message</w:t>
            </w:r>
          </w:p>
        </w:tc>
        <w:tc>
          <w:tcPr>
            <w:tcW w:type="dxa" w:w="6480"/>
            <w:shd w:fill="1B4F46"/>
            <w:tcBorders>
              <w:top w:val="nil" w:sz="0" w:space="0" w:color="auto"/>
              <w:left w:val="single" w:sz="6" w:space="0" w:color="DDE9E5"/>
              <w:bottom w:val="nil" w:sz="0" w:space="0" w:color="auto"/>
              <w:right w:val="single" w:sz="6" w:space="0" w:color="DDE9E5"/>
            </w:tcBorders>
            <w:tcMar>
              <w:top w:w="110" w:type="dxa"/>
              <w:start w:w="120" w:type="dxa"/>
              <w:bottom w:w="110" w:type="dxa"/>
              <w:end w:w="120" w:type="dxa"/>
            </w:tcMar>
            <w:vAlign w:val="center"/>
          </w:tcPr>
          <w:p>
            <w:pPr>
              <w:spacing w:after="0" w:line="259" w:lineRule="auto"/>
              <w:jc w:val="center"/>
            </w:pPr>
            <w:r/>
            <w:r>
              <w:rPr>
                <w:rFonts w:ascii="Times New Roman" w:hAnsi="Times New Roman"/>
                <w:b/>
                <w:i w:val="0"/>
                <w:color w:val="FFFFFF"/>
                <w:sz w:val="22"/>
              </w:rPr>
              <w:t>Talking Point</w:t>
            </w:r>
          </w:p>
        </w:tc>
      </w:tr>
      <w:tr>
        <w:tc>
          <w:tcPr>
            <w:tcW w:type="dxa" w:w="3384"/>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No one handles complex student concerns alone.</w:t>
            </w:r>
          </w:p>
        </w:tc>
        <w:tc>
          <w:tcPr>
            <w:tcW w:type="dxa" w:w="6480"/>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Persistent attendance, behavior, regulation, academic engagement, or connection concerns should move into a team process.</w:t>
            </w:r>
          </w:p>
        </w:tc>
      </w:tr>
      <w:tr>
        <w:tc>
          <w:tcPr>
            <w:tcW w:type="dxa" w:w="3384"/>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The concern form is intentionally brief.</w:t>
            </w:r>
          </w:p>
        </w:tc>
        <w:tc>
          <w:tcPr>
            <w:tcW w:type="dxa" w:w="6480"/>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The Staff Student Concern Form is designed to capture factual observations, not diagnoses or long narratives.</w:t>
            </w:r>
          </w:p>
        </w:tc>
      </w:tr>
      <w:tr>
        <w:tc>
          <w:tcPr>
            <w:tcW w:type="dxa" w:w="3384"/>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The safety boundary remains firm.</w:t>
            </w:r>
          </w:p>
        </w:tc>
        <w:tc>
          <w:tcPr>
            <w:tcW w:type="dxa" w:w="6480"/>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Immediate safety emergencies bypass routine forms and follow the district emergency safety protocol.</w:t>
            </w:r>
          </w:p>
        </w:tc>
      </w:tr>
      <w:tr>
        <w:tc>
          <w:tcPr>
            <w:tcW w:type="dxa" w:w="3384"/>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The team determines next steps.</w:t>
            </w:r>
          </w:p>
        </w:tc>
        <w:tc>
          <w:tcPr>
            <w:tcW w:type="dxa" w:w="6480"/>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Staff report observable concerns. The Student Support Team determines the support required to meet the student's needs.</w:t>
            </w:r>
          </w:p>
        </w:tc>
      </w:tr>
      <w:tr>
        <w:tc>
          <w:tcPr>
            <w:tcW w:type="dxa" w:w="3384"/>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Communication matters.</w:t>
            </w:r>
          </w:p>
        </w:tc>
        <w:tc>
          <w:tcPr>
            <w:tcW w:type="dxa" w:w="6480"/>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After review, the team identifies who will communicate back to the referring staff member when appropriate.</w:t>
            </w:r>
          </w:p>
        </w:tc>
      </w:tr>
    </w:tbl>
    <w:p/>
    <w:p>
      <w:pPr>
        <w:pStyle w:val="Heading1"/>
      </w:pPr>
      <w:r>
        <w:t>Step 3: Walk Staff Through the Tools</w:t>
      </w:r>
    </w:p>
    <w:tbl>
      <w:tblPr>
        <w:tblW w:type="dxa" w:w="9864"/>
        <w:jc w:val="center"/>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3887"/>
        <w:gridCol w:w="5976"/>
      </w:tblGrid>
      <w:tr>
        <w:tc>
          <w:tcPr>
            <w:tcW w:type="dxa" w:w="3887"/>
            <w:shd w:fill="1B4F46"/>
            <w:tcBorders>
              <w:top w:val="nil" w:sz="0" w:space="0" w:color="auto"/>
              <w:left w:val="single" w:sz="6" w:space="0" w:color="DDE9E5"/>
              <w:bottom w:val="nil" w:sz="0" w:space="0" w:color="auto"/>
              <w:right w:val="single" w:sz="6" w:space="0" w:color="DDE9E5"/>
            </w:tcBorders>
            <w:tcMar>
              <w:top w:w="110" w:type="dxa"/>
              <w:start w:w="120" w:type="dxa"/>
              <w:bottom w:w="110" w:type="dxa"/>
              <w:end w:w="120" w:type="dxa"/>
            </w:tcMar>
            <w:vAlign w:val="center"/>
          </w:tcPr>
          <w:p>
            <w:pPr>
              <w:spacing w:after="0" w:line="259" w:lineRule="auto"/>
              <w:jc w:val="center"/>
            </w:pPr>
            <w:r/>
            <w:r>
              <w:rPr>
                <w:rFonts w:ascii="Times New Roman" w:hAnsi="Times New Roman"/>
                <w:b/>
                <w:i w:val="0"/>
                <w:color w:val="FFFFFF"/>
                <w:sz w:val="22"/>
              </w:rPr>
              <w:t>Tool / Guide</w:t>
            </w:r>
          </w:p>
        </w:tc>
        <w:tc>
          <w:tcPr>
            <w:tcW w:type="dxa" w:w="5976"/>
            <w:shd w:fill="1B4F46"/>
            <w:tcBorders>
              <w:top w:val="nil" w:sz="0" w:space="0" w:color="auto"/>
              <w:left w:val="single" w:sz="6" w:space="0" w:color="DDE9E5"/>
              <w:bottom w:val="nil" w:sz="0" w:space="0" w:color="auto"/>
              <w:right w:val="single" w:sz="6" w:space="0" w:color="DDE9E5"/>
            </w:tcBorders>
            <w:tcMar>
              <w:top w:w="110" w:type="dxa"/>
              <w:start w:w="120" w:type="dxa"/>
              <w:bottom w:w="110" w:type="dxa"/>
              <w:end w:w="120" w:type="dxa"/>
            </w:tcMar>
            <w:vAlign w:val="center"/>
          </w:tcPr>
          <w:p>
            <w:pPr>
              <w:spacing w:after="0" w:line="259" w:lineRule="auto"/>
              <w:jc w:val="center"/>
            </w:pPr>
            <w:r/>
            <w:r>
              <w:rPr>
                <w:rFonts w:ascii="Times New Roman" w:hAnsi="Times New Roman"/>
                <w:b/>
                <w:i w:val="0"/>
                <w:color w:val="FFFFFF"/>
                <w:sz w:val="22"/>
              </w:rPr>
              <w:t>How the Principal Introduces It</w:t>
            </w:r>
          </w:p>
        </w:tc>
      </w:tr>
      <w:tr>
        <w:tc>
          <w:tcPr>
            <w:tcW w:type="dxa" w:w="3887"/>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Tier 1 Universal Prevention and SEL Framework</w:t>
            </w:r>
          </w:p>
        </w:tc>
        <w:tc>
          <w:tcPr>
            <w:tcW w:type="dxa" w:w="5976"/>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Use this guide to reinforce the daily classroom conditions that reduce escalation and support regulation.</w:t>
            </w:r>
          </w:p>
        </w:tc>
      </w:tr>
      <w:tr>
        <w:tc>
          <w:tcPr>
            <w:tcW w:type="dxa" w:w="3887"/>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Staff Student Concern Form</w:t>
            </w:r>
          </w:p>
        </w:tc>
        <w:tc>
          <w:tcPr>
            <w:tcW w:type="dxa" w:w="5976"/>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Show staff where the form lives and explain that it is used for persistent, non-emergency concern patterns.</w:t>
            </w:r>
          </w:p>
        </w:tc>
      </w:tr>
      <w:tr>
        <w:tc>
          <w:tcPr>
            <w:tcW w:type="dxa" w:w="3887"/>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Student Support Team Weekly Meeting Planner</w:t>
            </w:r>
          </w:p>
        </w:tc>
        <w:tc>
          <w:tcPr>
            <w:tcW w:type="dxa" w:w="5976"/>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Explain that the team uses this tool to organize weekly meetings and identify students ready for review.</w:t>
            </w:r>
          </w:p>
        </w:tc>
      </w:tr>
      <w:tr>
        <w:tc>
          <w:tcPr>
            <w:tcW w:type="dxa" w:w="3887"/>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Student Support Team Review Form</w:t>
            </w:r>
          </w:p>
        </w:tc>
        <w:tc>
          <w:tcPr>
            <w:tcW w:type="dxa" w:w="5976"/>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Explain that one form is completed for each student formally reviewed by the team.</w:t>
            </w:r>
          </w:p>
        </w:tc>
      </w:tr>
      <w:tr>
        <w:tc>
          <w:tcPr>
            <w:tcW w:type="dxa" w:w="3887"/>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Tier 2 Operational Flow and Targeted Support Menu</w:t>
            </w:r>
          </w:p>
        </w:tc>
        <w:tc>
          <w:tcPr>
            <w:tcW w:type="dxa" w:w="5976"/>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Explain how the team determines targeted support based on student need.</w:t>
            </w:r>
          </w:p>
        </w:tc>
      </w:tr>
      <w:tr>
        <w:tc>
          <w:tcPr>
            <w:tcW w:type="dxa" w:w="3887"/>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Tier 3 High-Risk and School Re-Entry Protocol</w:t>
            </w:r>
          </w:p>
        </w:tc>
        <w:tc>
          <w:tcPr>
            <w:tcW w:type="dxa" w:w="5976"/>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Explain that this guide supports complex, individualized situations and re-entry planning.</w:t>
            </w:r>
          </w:p>
        </w:tc>
      </w:tr>
      <w:tr>
        <w:tc>
          <w:tcPr>
            <w:tcW w:type="dxa" w:w="3887"/>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Tier 3 Individualized Student Support Planning Form</w:t>
            </w:r>
          </w:p>
        </w:tc>
        <w:tc>
          <w:tcPr>
            <w:tcW w:type="dxa" w:w="5976"/>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Explain that this form documents individualized Tier 3 planning when needed.</w:t>
            </w:r>
          </w:p>
        </w:tc>
      </w:tr>
    </w:tbl>
    <w:p/>
    <w:p>
      <w:pPr>
        <w:pStyle w:val="Heading1"/>
      </w:pPr>
      <w:r>
        <w:t>Step 4: Protect the System After Launch</w:t>
      </w:r>
    </w:p>
    <w:tbl>
      <w:tblPr>
        <w:tblW w:type="dxa" w:w="9864"/>
        <w:jc w:val="center"/>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4320"/>
        <w:gridCol w:w="5544"/>
      </w:tblGrid>
      <w:tr>
        <w:tc>
          <w:tcPr>
            <w:tcW w:type="dxa" w:w="4320"/>
            <w:shd w:fill="1B4F46"/>
            <w:tcBorders>
              <w:top w:val="nil" w:sz="0" w:space="0" w:color="auto"/>
              <w:left w:val="single" w:sz="6" w:space="0" w:color="DDE9E5"/>
              <w:bottom w:val="nil" w:sz="0" w:space="0" w:color="auto"/>
              <w:right w:val="single" w:sz="6" w:space="0" w:color="DDE9E5"/>
            </w:tcBorders>
            <w:tcMar>
              <w:top w:w="110" w:type="dxa"/>
              <w:start w:w="120" w:type="dxa"/>
              <w:bottom w:w="110" w:type="dxa"/>
              <w:end w:w="120" w:type="dxa"/>
            </w:tcMar>
            <w:vAlign w:val="center"/>
          </w:tcPr>
          <w:p>
            <w:pPr>
              <w:spacing w:after="0" w:line="259" w:lineRule="auto"/>
              <w:jc w:val="center"/>
            </w:pPr>
            <w:r/>
            <w:r>
              <w:rPr>
                <w:rFonts w:ascii="Times New Roman" w:hAnsi="Times New Roman"/>
                <w:b/>
                <w:i w:val="0"/>
                <w:color w:val="FFFFFF"/>
                <w:sz w:val="22"/>
              </w:rPr>
              <w:t>Ongoing Principal Action</w:t>
            </w:r>
          </w:p>
        </w:tc>
        <w:tc>
          <w:tcPr>
            <w:tcW w:type="dxa" w:w="5544"/>
            <w:shd w:fill="1B4F46"/>
            <w:tcBorders>
              <w:top w:val="nil" w:sz="0" w:space="0" w:color="auto"/>
              <w:left w:val="single" w:sz="6" w:space="0" w:color="DDE9E5"/>
              <w:bottom w:val="nil" w:sz="0" w:space="0" w:color="auto"/>
              <w:right w:val="single" w:sz="6" w:space="0" w:color="DDE9E5"/>
            </w:tcBorders>
            <w:tcMar>
              <w:top w:w="110" w:type="dxa"/>
              <w:start w:w="120" w:type="dxa"/>
              <w:bottom w:w="110" w:type="dxa"/>
              <w:end w:w="120" w:type="dxa"/>
            </w:tcMar>
            <w:vAlign w:val="center"/>
          </w:tcPr>
          <w:p>
            <w:pPr>
              <w:spacing w:after="0" w:line="259" w:lineRule="auto"/>
              <w:jc w:val="center"/>
            </w:pPr>
            <w:r/>
            <w:r>
              <w:rPr>
                <w:rFonts w:ascii="Times New Roman" w:hAnsi="Times New Roman"/>
                <w:b/>
                <w:i w:val="0"/>
                <w:color w:val="FFFFFF"/>
                <w:sz w:val="22"/>
              </w:rPr>
              <w:t>Why It Matters</w:t>
            </w:r>
          </w:p>
        </w:tc>
      </w:tr>
      <w:tr>
        <w:tc>
          <w:tcPr>
            <w:tcW w:type="dxa" w:w="4320"/>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Protect the weekly team meeting time.</w:t>
            </w:r>
          </w:p>
        </w:tc>
        <w:tc>
          <w:tcPr>
            <w:tcW w:type="dxa" w:w="5544"/>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Without protected time, the system becomes reactive again.</w:t>
            </w:r>
          </w:p>
        </w:tc>
      </w:tr>
      <w:tr>
        <w:tc>
          <w:tcPr>
            <w:tcW w:type="dxa" w:w="4320"/>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Check whether concern forms are being reviewed consistently.</w:t>
            </w:r>
          </w:p>
        </w:tc>
        <w:tc>
          <w:tcPr>
            <w:tcW w:type="dxa" w:w="5544"/>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Staff trust grows when concerns enter a predictable process.</w:t>
            </w:r>
          </w:p>
        </w:tc>
      </w:tr>
      <w:tr>
        <w:tc>
          <w:tcPr>
            <w:tcW w:type="dxa" w:w="4320"/>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Confirm communication back to referring staff.</w:t>
            </w:r>
          </w:p>
        </w:tc>
        <w:tc>
          <w:tcPr>
            <w:tcW w:type="dxa" w:w="5544"/>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Staff are more likely to use the system when they know their concern was heard and acted upon.</w:t>
            </w:r>
          </w:p>
        </w:tc>
      </w:tr>
      <w:tr>
        <w:tc>
          <w:tcPr>
            <w:tcW w:type="dxa" w:w="4320"/>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Remove building-level barriers.</w:t>
            </w:r>
          </w:p>
        </w:tc>
        <w:tc>
          <w:tcPr>
            <w:tcW w:type="dxa" w:w="5544"/>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Scheduling, coverage, unclear ownership, or missing documents can weaken implementation quickly.</w:t>
            </w:r>
          </w:p>
        </w:tc>
      </w:tr>
      <w:tr>
        <w:tc>
          <w:tcPr>
            <w:tcW w:type="dxa" w:w="4320"/>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Reinforce the safety firewall.</w:t>
            </w:r>
          </w:p>
        </w:tc>
        <w:tc>
          <w:tcPr>
            <w:tcW w:type="dxa" w:w="5544"/>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Routine support tools should never delay emergency response.</w:t>
            </w:r>
          </w:p>
        </w:tc>
      </w:tr>
      <w:tr>
        <w:tc>
          <w:tcPr>
            <w:tcW w:type="dxa" w:w="4320"/>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Look for patterns across students.</w:t>
            </w:r>
          </w:p>
        </w:tc>
        <w:tc>
          <w:tcPr>
            <w:tcW w:type="dxa" w:w="5544"/>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Repeated concerns may reveal a classroom, grade-level, schedule, or support-system issue that needs broader attention.</w:t>
            </w:r>
          </w:p>
        </w:tc>
      </w:tr>
    </w:tbl>
    <w:p/>
    <w:p>
      <w:pPr>
        <w:pStyle w:val="Heading1"/>
      </w:pPr>
      <w:r>
        <w:t>Building Launch Checklist</w:t>
      </w:r>
    </w:p>
    <w:tbl>
      <w:tblPr>
        <w:tblW w:type="dxa" w:w="9864"/>
        <w:jc w:val="center"/>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6623"/>
        <w:gridCol w:w="3240"/>
      </w:tblGrid>
      <w:tr>
        <w:tc>
          <w:tcPr>
            <w:tcW w:type="dxa" w:w="6623"/>
            <w:shd w:fill="1B4F46"/>
            <w:tcBorders>
              <w:top w:val="nil" w:sz="0" w:space="0" w:color="auto"/>
              <w:left w:val="single" w:sz="6" w:space="0" w:color="DDE9E5"/>
              <w:bottom w:val="nil" w:sz="0" w:space="0" w:color="auto"/>
              <w:right w:val="single" w:sz="6" w:space="0" w:color="DDE9E5"/>
            </w:tcBorders>
            <w:tcMar>
              <w:top w:w="110" w:type="dxa"/>
              <w:start w:w="120" w:type="dxa"/>
              <w:bottom w:w="110" w:type="dxa"/>
              <w:end w:w="120" w:type="dxa"/>
            </w:tcMar>
            <w:vAlign w:val="center"/>
          </w:tcPr>
          <w:p>
            <w:pPr>
              <w:spacing w:after="0" w:line="259" w:lineRule="auto"/>
              <w:jc w:val="center"/>
            </w:pPr>
            <w:r/>
            <w:r>
              <w:rPr>
                <w:rFonts w:ascii="Times New Roman" w:hAnsi="Times New Roman"/>
                <w:b/>
                <w:i w:val="0"/>
                <w:color w:val="FFFFFF"/>
                <w:sz w:val="22"/>
              </w:rPr>
              <w:t>Launch Item</w:t>
            </w:r>
          </w:p>
        </w:tc>
        <w:tc>
          <w:tcPr>
            <w:tcW w:type="dxa" w:w="3240"/>
            <w:shd w:fill="1B4F46"/>
            <w:tcBorders>
              <w:top w:val="nil" w:sz="0" w:space="0" w:color="auto"/>
              <w:left w:val="single" w:sz="6" w:space="0" w:color="DDE9E5"/>
              <w:bottom w:val="nil" w:sz="0" w:space="0" w:color="auto"/>
              <w:right w:val="single" w:sz="6" w:space="0" w:color="DDE9E5"/>
            </w:tcBorders>
            <w:tcMar>
              <w:top w:w="110" w:type="dxa"/>
              <w:start w:w="120" w:type="dxa"/>
              <w:bottom w:w="110" w:type="dxa"/>
              <w:end w:w="120" w:type="dxa"/>
            </w:tcMar>
            <w:vAlign w:val="center"/>
          </w:tcPr>
          <w:p>
            <w:pPr>
              <w:spacing w:after="0" w:line="259" w:lineRule="auto"/>
              <w:jc w:val="center"/>
            </w:pPr>
            <w:r/>
            <w:r>
              <w:rPr>
                <w:rFonts w:ascii="Times New Roman" w:hAnsi="Times New Roman"/>
                <w:b/>
                <w:i w:val="0"/>
                <w:color w:val="FFFFFF"/>
                <w:sz w:val="22"/>
              </w:rPr>
              <w:t>Status</w:t>
            </w:r>
          </w:p>
        </w:tc>
      </w:tr>
      <w:tr>
        <w:tc>
          <w:tcPr>
            <w:tcW w:type="dxa" w:w="6623"/>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Weekly Student Support Team meeting time is protected on the calendar.</w:t>
            </w:r>
          </w:p>
        </w:tc>
        <w:tc>
          <w:tcPr>
            <w:tcW w:type="dxa" w:w="3240"/>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jc w:val="center"/>
            </w:pPr>
            <w:r/>
            <w:r>
              <w:rPr>
                <w:rFonts w:ascii="Times New Roman" w:hAnsi="Times New Roman"/>
                <w:b w:val="0"/>
                <w:i w:val="0"/>
                <w:color w:val="1E2A3A"/>
                <w:sz w:val="21"/>
              </w:rPr>
              <w:t>[ ] Complete   [ ] In progress</w:t>
            </w:r>
          </w:p>
        </w:tc>
      </w:tr>
      <w:tr>
        <w:tc>
          <w:tcPr>
            <w:tcW w:type="dxa" w:w="6623"/>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Core team roles are assigned.</w:t>
            </w:r>
          </w:p>
        </w:tc>
        <w:tc>
          <w:tcPr>
            <w:tcW w:type="dxa" w:w="3240"/>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jc w:val="center"/>
            </w:pPr>
            <w:r/>
            <w:r>
              <w:rPr>
                <w:rFonts w:ascii="Times New Roman" w:hAnsi="Times New Roman"/>
                <w:b w:val="0"/>
                <w:i w:val="0"/>
                <w:color w:val="1E2A3A"/>
                <w:sz w:val="21"/>
              </w:rPr>
              <w:t>[ ] Complete   [ ] In progress</w:t>
            </w:r>
          </w:p>
        </w:tc>
      </w:tr>
      <w:tr>
        <w:tc>
          <w:tcPr>
            <w:tcW w:type="dxa" w:w="6623"/>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Staff Student Concern Form is available in the approved location.</w:t>
            </w:r>
          </w:p>
        </w:tc>
        <w:tc>
          <w:tcPr>
            <w:tcW w:type="dxa" w:w="3240"/>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jc w:val="center"/>
            </w:pPr>
            <w:r/>
            <w:r>
              <w:rPr>
                <w:rFonts w:ascii="Times New Roman" w:hAnsi="Times New Roman"/>
                <w:b w:val="0"/>
                <w:i w:val="0"/>
                <w:color w:val="1E2A3A"/>
                <w:sz w:val="21"/>
              </w:rPr>
              <w:t>[ ] Complete   [ ] In progress</w:t>
            </w:r>
          </w:p>
        </w:tc>
      </w:tr>
      <w:tr>
        <w:tc>
          <w:tcPr>
            <w:tcW w:type="dxa" w:w="6623"/>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Staff know the difference between routine concern reporting and emergency response.</w:t>
            </w:r>
          </w:p>
        </w:tc>
        <w:tc>
          <w:tcPr>
            <w:tcW w:type="dxa" w:w="3240"/>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jc w:val="center"/>
            </w:pPr>
            <w:r/>
            <w:r>
              <w:rPr>
                <w:rFonts w:ascii="Times New Roman" w:hAnsi="Times New Roman"/>
                <w:b w:val="0"/>
                <w:i w:val="0"/>
                <w:color w:val="1E2A3A"/>
                <w:sz w:val="21"/>
              </w:rPr>
              <w:t>[ ] Complete   [ ] In progress</w:t>
            </w:r>
          </w:p>
        </w:tc>
      </w:tr>
      <w:tr>
        <w:tc>
          <w:tcPr>
            <w:tcW w:type="dxa" w:w="6623"/>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Staff have been introduced to Tier 1 classroom prevention expectations.</w:t>
            </w:r>
          </w:p>
        </w:tc>
        <w:tc>
          <w:tcPr>
            <w:tcW w:type="dxa" w:w="3240"/>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jc w:val="center"/>
            </w:pPr>
            <w:r/>
            <w:r>
              <w:rPr>
                <w:rFonts w:ascii="Times New Roman" w:hAnsi="Times New Roman"/>
                <w:b w:val="0"/>
                <w:i w:val="0"/>
                <w:color w:val="1E2A3A"/>
                <w:sz w:val="21"/>
              </w:rPr>
              <w:t>[ ] Complete   [ ] In progress</w:t>
            </w:r>
          </w:p>
        </w:tc>
      </w:tr>
      <w:tr>
        <w:tc>
          <w:tcPr>
            <w:tcW w:type="dxa" w:w="6623"/>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Student Support Team Review Form is ready for student-specific team decisions.</w:t>
            </w:r>
          </w:p>
        </w:tc>
        <w:tc>
          <w:tcPr>
            <w:tcW w:type="dxa" w:w="3240"/>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jc w:val="center"/>
            </w:pPr>
            <w:r/>
            <w:r>
              <w:rPr>
                <w:rFonts w:ascii="Times New Roman" w:hAnsi="Times New Roman"/>
                <w:b w:val="0"/>
                <w:i w:val="0"/>
                <w:color w:val="1E2A3A"/>
                <w:sz w:val="21"/>
              </w:rPr>
              <w:t>[ ] Complete   [ ] In progress</w:t>
            </w:r>
          </w:p>
        </w:tc>
      </w:tr>
      <w:tr>
        <w:tc>
          <w:tcPr>
            <w:tcW w:type="dxa" w:w="6623"/>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Tier 2 and Tier 3 guides are available to the Student Support Team.</w:t>
            </w:r>
          </w:p>
        </w:tc>
        <w:tc>
          <w:tcPr>
            <w:tcW w:type="dxa" w:w="3240"/>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jc w:val="center"/>
            </w:pPr>
            <w:r/>
            <w:r>
              <w:rPr>
                <w:rFonts w:ascii="Times New Roman" w:hAnsi="Times New Roman"/>
                <w:b w:val="0"/>
                <w:i w:val="0"/>
                <w:color w:val="1E2A3A"/>
                <w:sz w:val="21"/>
              </w:rPr>
              <w:t>[ ] Complete   [ ] In progress</w:t>
            </w:r>
          </w:p>
        </w:tc>
      </w:tr>
      <w:tr>
        <w:tc>
          <w:tcPr>
            <w:tcW w:type="dxa" w:w="6623"/>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Communication loop expectations are clear.</w:t>
            </w:r>
          </w:p>
        </w:tc>
        <w:tc>
          <w:tcPr>
            <w:tcW w:type="dxa" w:w="3240"/>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jc w:val="center"/>
            </w:pPr>
            <w:r/>
            <w:r>
              <w:rPr>
                <w:rFonts w:ascii="Times New Roman" w:hAnsi="Times New Roman"/>
                <w:b w:val="0"/>
                <w:i w:val="0"/>
                <w:color w:val="1E2A3A"/>
                <w:sz w:val="21"/>
              </w:rPr>
              <w:t>[ ] Complete   [ ] In progress</w:t>
            </w:r>
          </w:p>
        </w:tc>
      </w:tr>
    </w:tbl>
    <w:p/>
    <w:sectPr w:rsidR="00FC693F" w:rsidRPr="0006063C" w:rsidSect="00034616">
      <w:headerReference w:type="default" r:id="rId9"/>
      <w:footerReference w:type="default" r:id="rId10"/>
      <w:pgSz w:w="12240" w:h="15840"/>
      <w:pgMar w:top="1008" w:right="1037" w:bottom="1008" w:left="1037"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b w:val="0"/>
        <w:i w:val="0"/>
        <w:color w:val="4A5568"/>
        <w:sz w:val="19"/>
      </w:rPr>
      <w:t>The Blueprint Institute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b w:val="0"/>
        <w:i w:val="0"/>
        <w:color w:val="4A5568"/>
        <w:sz w:val="19"/>
      </w:rPr>
      <w:t>Building Guide | Principal Launch Roadmap</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76" w:lineRule="auto"/>
    </w:pPr>
    <w:rPr>
      <w:rFonts w:ascii="Times New Roman" w:hAnsi="Times New Roman"/>
      <w:color w:val="1E2A3A"/>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40"/>
      <w:outlineLvl w:val="0"/>
    </w:pPr>
    <w:rPr>
      <w:rFonts w:asciiTheme="majorHAnsi" w:eastAsiaTheme="majorEastAsia" w:hAnsiTheme="majorHAnsi" w:cstheme="majorBidi" w:ascii="Georgia" w:hAnsi="Georgia"/>
      <w:b/>
      <w:bCs/>
      <w:color w:val="1B4F46"/>
      <w:sz w:val="34"/>
      <w:szCs w:val="28"/>
    </w:rPr>
  </w:style>
  <w:style w:type="paragraph" w:styleId="Heading2">
    <w:name w:val="heading 2"/>
    <w:basedOn w:val="Normal"/>
    <w:next w:val="Normal"/>
    <w:link w:val="Heading2Char"/>
    <w:uiPriority w:val="9"/>
    <w:unhideWhenUsed/>
    <w:qFormat/>
    <w:rsid w:val="00FC693F"/>
    <w:pPr>
      <w:keepNext/>
      <w:keepLines/>
      <w:spacing w:before="240" w:after="100"/>
      <w:outlineLvl w:val="1"/>
    </w:pPr>
    <w:rPr>
      <w:rFonts w:asciiTheme="majorHAnsi" w:eastAsiaTheme="majorEastAsia" w:hAnsiTheme="majorHAnsi" w:cstheme="majorBidi" w:ascii="Georgia" w:hAnsi="Georgia"/>
      <w:b/>
      <w:bCs/>
      <w:color w:val="0E2243"/>
      <w:sz w:val="28"/>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Georgia" w:hAnsi="Georgia"/>
      <w:b/>
      <w:bCs/>
      <w:color w:val="0E2243"/>
      <w:sz w:val="25"/>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