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tblLook w:firstColumn="1" w:firstRow="1" w:lastColumn="0" w:lastRow="0" w:noHBand="0" w:noVBand="1" w:val="04A0"/>
        <w:tblLayout w:type="fixed"/>
      </w:tblPr>
      <w:tblGrid>
        <w:gridCol w:w="9360"/>
      </w:tblGrid>
      <w:tr>
        <w:tc>
          <w:tcPr>
            <w:tcW w:type="dxa" w:w="9360"/>
            <w:shd w:fill="1B4F46"/>
            <w:tcBorders>
              <w:top w:val="single" w:sz="6" w:space="0" w:color="1B4F46"/>
              <w:left w:val="single" w:sz="6" w:space="0" w:color="1B4F46"/>
              <w:bottom w:val="single" w:sz="6" w:space="0" w:color="1B4F46"/>
              <w:right w:val="single" w:sz="6" w:space="0" w:color="1B4F46"/>
            </w:tcBorders>
            <w:tcMar>
              <w:top w:w="300" w:type="dxa"/>
              <w:start w:w="260" w:type="dxa"/>
              <w:bottom w:w="300" w:type="dxa"/>
              <w:end w:w="260" w:type="dxa"/>
            </w:tcMar>
          </w:tcPr>
          <w:p>
            <w:pPr>
              <w:spacing w:before="0" w:after="140" w:line="269" w:lineRule="auto"/>
              <w:jc w:val="center"/>
            </w:pPr>
            <w:r>
              <w:rPr>
                <w:rFonts w:ascii="Times New Roman" w:hAnsi="Times New Roman"/>
                <w:b/>
                <w:i w:val="0"/>
                <w:color w:val="D8B864"/>
                <w:sz w:val="38"/>
                <w:spacing w:val="0"/>
              </w:rPr>
              <w:t>Preparing Students for Life After High School</w:t>
            </w:r>
          </w:p>
          <w:p>
            <w:pPr>
              <w:spacing w:before="0" w:after="0" w:line="269" w:lineRule="auto"/>
              <w:jc w:val="center"/>
            </w:pPr>
            <w:r>
              <w:rPr>
                <w:rFonts w:ascii="Times New Roman" w:hAnsi="Times New Roman"/>
                <w:b/>
                <w:i w:val="0"/>
                <w:color w:val="FFFFFF"/>
                <w:sz w:val="28"/>
                <w:spacing w:val="0"/>
              </w:rPr>
              <w:t>Family and Community Communication Template</w:t>
            </w:r>
          </w:p>
        </w:tc>
      </w:tr>
    </w:tbl>
    <w:p>
      <w:pPr>
        <w:spacing w:before="0" w:after="120" w:line="269" w:lineRule="auto"/>
      </w:pPr>
      <w:r>
        <w:rPr>
          <w:rFonts w:ascii="Times New Roman" w:hAnsi="Times New Roman"/>
          <w:b w:val="0"/>
          <w:i w:val="0"/>
          <w:color w:val="0E2243"/>
          <w:sz w:val="22"/>
          <w:spacing w:val="0"/>
        </w:rPr>
      </w:r>
    </w:p>
    <w:p>
      <w:pPr>
        <w:spacing w:before="240" w:after="140" w:line="269" w:lineRule="auto"/>
      </w:pPr>
      <w:r>
        <w:rPr>
          <w:rFonts w:ascii="Times New Roman" w:hAnsi="Times New Roman"/>
          <w:b/>
          <w:i w:val="0"/>
          <w:color w:val="1B4F46"/>
          <w:sz w:val="32"/>
          <w:spacing w:val="0"/>
        </w:rPr>
        <w:t>Purpose of This Template</w:t>
      </w:r>
    </w:p>
    <w:p>
      <w:pPr>
        <w:spacing w:before="0" w:after="100" w:line="269" w:lineRule="auto"/>
      </w:pPr>
      <w:r>
        <w:rPr>
          <w:rFonts w:ascii="Times New Roman" w:hAnsi="Times New Roman"/>
          <w:b w:val="0"/>
          <w:i w:val="0"/>
          <w:color w:val="0E2243"/>
          <w:sz w:val="22"/>
          <w:spacing w:val="0"/>
        </w:rPr>
        <w:t>Use this template to explain the district's Preparing Students for Life After High School initiative to families, community members, local partners, and board or advisory groups. The language is intended to be clear, practical, and easy to adapt.</w:t>
      </w:r>
    </w:p>
    <w:tbl>
      <w:tblPr>
        <w:tblW w:type="dxa" w:w="9360"/>
        <w:tblLook w:firstColumn="1" w:firstRow="1" w:lastColumn="0" w:lastRow="0" w:noHBand="0" w:noVBand="1" w:val="04A0"/>
        <w:tblLayout w:type="fixed"/>
      </w:tblPr>
      <w:tblGrid>
        <w:gridCol w:w="9360"/>
      </w:tblGrid>
      <w:tr>
        <w:tc>
          <w:tcPr>
            <w:tcW w:type="dxa" w:w="9360"/>
            <w:shd w:fill="FBF7E8"/>
            <w:tcBorders>
              <w:top w:val="single" w:sz="6" w:space="0" w:color="C8DAD4"/>
              <w:left w:val="single" w:sz="6" w:space="0" w:color="C8DAD4"/>
              <w:bottom w:val="single" w:sz="6" w:space="0" w:color="C8DAD4"/>
              <w:right w:val="single" w:sz="6" w:space="0" w:color="C8DAD4"/>
            </w:tcBorders>
            <w:tcMar>
              <w:top w:w="140" w:type="dxa"/>
              <w:start w:w="160" w:type="dxa"/>
              <w:bottom w:w="140" w:type="dxa"/>
              <w:end w:w="160" w:type="dxa"/>
            </w:tcMar>
          </w:tcPr>
          <w:p>
            <w:pPr>
              <w:spacing w:before="0" w:after="80" w:line="269" w:lineRule="auto"/>
            </w:pPr>
            <w:r>
              <w:rPr>
                <w:rFonts w:ascii="Times New Roman" w:hAnsi="Times New Roman"/>
                <w:b/>
                <w:i w:val="0"/>
                <w:color w:val="1B4F46"/>
                <w:sz w:val="23"/>
                <w:spacing w:val="0"/>
              </w:rPr>
              <w:t>Core Message</w:t>
            </w:r>
          </w:p>
          <w:p>
            <w:pPr>
              <w:spacing w:before="0" w:after="0" w:line="269" w:lineRule="auto"/>
            </w:pPr>
            <w:r>
              <w:rPr>
                <w:rFonts w:ascii="Times New Roman" w:hAnsi="Times New Roman"/>
                <w:b w:val="0"/>
                <w:i w:val="0"/>
                <w:color w:val="0E2243"/>
                <w:sz w:val="22"/>
                <w:spacing w:val="0"/>
              </w:rPr>
              <w:t>This work is not a separate program. It is a district effort to strengthen the learning, support, reflection, and real-world experiences students already receive so they are better prepared for life after graduation.</w:t>
            </w:r>
          </w:p>
        </w:tc>
      </w:tr>
    </w:tbl>
    <w:p>
      <w:pPr>
        <w:spacing w:before="0" w:after="40" w:line="269" w:lineRule="auto"/>
      </w:pPr>
      <w:r>
        <w:rPr>
          <w:rFonts w:ascii="Times New Roman" w:hAnsi="Times New Roman"/>
          <w:b w:val="0"/>
          <w:i w:val="0"/>
          <w:color w:val="0E2243"/>
          <w:sz w:val="22"/>
          <w:spacing w:val="0"/>
        </w:rPr>
      </w:r>
    </w:p>
    <w:p>
      <w:pPr>
        <w:spacing w:before="240" w:after="140" w:line="269" w:lineRule="auto"/>
      </w:pPr>
      <w:r>
        <w:rPr>
          <w:rFonts w:ascii="Times New Roman" w:hAnsi="Times New Roman"/>
          <w:b/>
          <w:i w:val="0"/>
          <w:color w:val="1B4F46"/>
          <w:sz w:val="32"/>
          <w:spacing w:val="0"/>
        </w:rPr>
        <w:t>Sample Family Letter or Email</w:t>
      </w:r>
    </w:p>
    <w:p>
      <w:pPr>
        <w:spacing w:before="0" w:after="100" w:line="269" w:lineRule="auto"/>
      </w:pPr>
      <w:r>
        <w:rPr>
          <w:rFonts w:ascii="Times New Roman" w:hAnsi="Times New Roman"/>
          <w:b w:val="0"/>
          <w:i/>
          <w:color w:val="8A94A3"/>
          <w:sz w:val="22"/>
          <w:spacing w:val="0"/>
        </w:rPr>
        <w:t>[District/School Letterhead]</w:t>
      </w:r>
    </w:p>
    <w:p>
      <w:pPr>
        <w:spacing w:before="0" w:after="100" w:line="269" w:lineRule="auto"/>
      </w:pPr>
      <w:r>
        <w:rPr>
          <w:rFonts w:ascii="Times New Roman" w:hAnsi="Times New Roman"/>
          <w:b w:val="0"/>
          <w:i w:val="0"/>
          <w:color w:val="8A94A3"/>
          <w:sz w:val="22"/>
          <w:spacing w:val="0"/>
        </w:rPr>
        <w:t>Dear Families and Community Members,</w:t>
      </w:r>
    </w:p>
    <w:p>
      <w:pPr>
        <w:spacing w:before="0" w:after="100" w:line="269" w:lineRule="auto"/>
      </w:pPr>
      <w:r>
        <w:rPr>
          <w:rFonts w:ascii="Times New Roman" w:hAnsi="Times New Roman"/>
          <w:b w:val="0"/>
          <w:i w:val="0"/>
          <w:color w:val="8A94A3"/>
          <w:sz w:val="22"/>
          <w:spacing w:val="0"/>
        </w:rPr>
        <w:t>Our district is launching Preparing Students for Life After High School, an initiative focused on helping students build the knowledge, skills, experiences, relationships, habits, and direction they need for success beyond graduation.</w:t>
      </w:r>
    </w:p>
    <w:p>
      <w:pPr>
        <w:spacing w:before="0" w:after="100" w:line="269" w:lineRule="auto"/>
      </w:pPr>
      <w:r>
        <w:rPr>
          <w:rFonts w:ascii="Times New Roman" w:hAnsi="Times New Roman"/>
          <w:b w:val="0"/>
          <w:i w:val="0"/>
          <w:color w:val="8A94A3"/>
          <w:sz w:val="22"/>
          <w:spacing w:val="0"/>
        </w:rPr>
        <w:t>This work is not a replacement for academic standards, required curriculum, or strong classroom instruction. Instead, it strengthens the learning already taking place by helping students connect school to future opportunities, apply what they are learning, reflect on their strengths and interests, and develop the skills needed for college, career, service, civic participation, and adult life.</w:t>
      </w:r>
    </w:p>
    <w:p>
      <w:pPr>
        <w:spacing w:before="0" w:after="100" w:line="269" w:lineRule="auto"/>
      </w:pPr>
      <w:r>
        <w:rPr>
          <w:rFonts w:ascii="Times New Roman" w:hAnsi="Times New Roman"/>
          <w:b w:val="0"/>
          <w:i w:val="0"/>
          <w:color w:val="8A94A3"/>
          <w:sz w:val="22"/>
          <w:spacing w:val="0"/>
        </w:rPr>
        <w:t>Buildings will begin with a focused starting point selected by the district. Schools will use Building Implementation Guides to identify practical ways to strengthen student experiences by grade band. The district will support schools through resources, professional learning, planning support, and regular review of progress.</w:t>
      </w:r>
    </w:p>
    <w:p>
      <w:pPr>
        <w:spacing w:before="0" w:after="100" w:line="269" w:lineRule="auto"/>
      </w:pPr>
      <w:r>
        <w:rPr>
          <w:rFonts w:ascii="Times New Roman" w:hAnsi="Times New Roman"/>
          <w:b w:val="0"/>
          <w:i w:val="0"/>
          <w:color w:val="8A94A3"/>
          <w:sz w:val="22"/>
          <w:spacing w:val="0"/>
        </w:rPr>
        <w:t>Families and community partners play an important role in this work. Students benefit when adults help them talk about future goals, connect learning to real life, explore possible pathways, and understand the skills and habits that matter beyond high school.</w:t>
      </w:r>
    </w:p>
    <w:p>
      <w:pPr>
        <w:spacing w:before="0" w:after="100" w:line="269" w:lineRule="auto"/>
      </w:pPr>
      <w:r>
        <w:rPr>
          <w:rFonts w:ascii="Times New Roman" w:hAnsi="Times New Roman"/>
          <w:b w:val="0"/>
          <w:i w:val="0"/>
          <w:color w:val="8A94A3"/>
          <w:sz w:val="22"/>
          <w:spacing w:val="0"/>
        </w:rPr>
        <w:t>For our youngest students, this does not mean asking children to choose a career or make adult decisions too early. In the primary grades, the work begins with curiosity, confidence, imagination, communication, responsibility, problem solving, and helping children see that what they learn in school connects to the world around them.</w:t>
      </w:r>
    </w:p>
    <w:p>
      <w:pPr>
        <w:spacing w:before="0" w:after="100" w:line="269" w:lineRule="auto"/>
      </w:pPr>
      <w:r>
        <w:rPr>
          <w:rFonts w:ascii="Times New Roman" w:hAnsi="Times New Roman"/>
          <w:b w:val="0"/>
          <w:i w:val="0"/>
          <w:color w:val="8A94A3"/>
          <w:sz w:val="22"/>
          <w:spacing w:val="0"/>
        </w:rPr>
        <w:t>We look forward to working together to help every student leave high school prepared for what comes next.</w:t>
      </w:r>
    </w:p>
    <w:p>
      <w:pPr>
        <w:spacing w:before="0" w:after="100" w:line="269" w:lineRule="auto"/>
      </w:pPr>
      <w:r>
        <w:rPr>
          <w:rFonts w:ascii="Times New Roman" w:hAnsi="Times New Roman"/>
          <w:b w:val="0"/>
          <w:i w:val="0"/>
          <w:color w:val="8A94A3"/>
          <w:sz w:val="22"/>
          <w:spacing w:val="0"/>
        </w:rPr>
        <w:t>Sincerely,</w:t>
      </w:r>
    </w:p>
    <w:p>
      <w:pPr>
        <w:spacing w:before="0" w:after="100" w:line="269" w:lineRule="auto"/>
      </w:pPr>
      <w:r>
        <w:rPr>
          <w:rFonts w:ascii="Times New Roman" w:hAnsi="Times New Roman"/>
          <w:b w:val="0"/>
          <w:i w:val="0"/>
          <w:color w:val="8A94A3"/>
          <w:sz w:val="22"/>
          <w:spacing w:val="0"/>
        </w:rPr>
        <w:t>[District or School Leader Name]</w:t>
      </w:r>
    </w:p>
    <w:p>
      <w:pPr>
        <w:spacing w:before="240" w:after="140" w:line="269" w:lineRule="auto"/>
      </w:pPr>
      <w:r>
        <w:rPr>
          <w:rFonts w:ascii="Times New Roman" w:hAnsi="Times New Roman"/>
          <w:b/>
          <w:i w:val="0"/>
          <w:color w:val="1B4F46"/>
          <w:sz w:val="32"/>
          <w:spacing w:val="0"/>
        </w:rPr>
        <w:t>Key Talking Points</w:t>
      </w:r>
    </w:p>
    <w:p>
      <w:pPr>
        <w:pStyle w:val="ListBullet"/>
        <w:spacing w:before="0" w:after="60" w:line="269" w:lineRule="auto"/>
        <w:ind w:left="360" w:hanging="216"/>
      </w:pPr>
      <w:r>
        <w:rPr>
          <w:rFonts w:ascii="Times New Roman" w:hAnsi="Times New Roman"/>
          <w:b w:val="0"/>
          <w:i w:val="0"/>
          <w:color w:val="0E2243"/>
          <w:sz w:val="22"/>
          <w:spacing w:val="0"/>
        </w:rPr>
        <w:t>The purpose is to better prepare students for life after high school, not to add another disconnected program.</w:t>
      </w:r>
    </w:p>
    <w:p>
      <w:pPr>
        <w:pStyle w:val="ListBullet"/>
        <w:spacing w:before="0" w:after="60" w:line="269" w:lineRule="auto"/>
        <w:ind w:left="360" w:hanging="216"/>
      </w:pPr>
      <w:r>
        <w:rPr>
          <w:rFonts w:ascii="Times New Roman" w:hAnsi="Times New Roman"/>
          <w:b w:val="0"/>
          <w:i w:val="0"/>
          <w:color w:val="0E2243"/>
          <w:sz w:val="22"/>
          <w:spacing w:val="0"/>
        </w:rPr>
        <w:t>The work strengthens existing instruction, advising, student support, and real-world learning.</w:t>
      </w:r>
    </w:p>
    <w:p>
      <w:pPr>
        <w:pStyle w:val="ListBullet"/>
        <w:spacing w:before="0" w:after="60" w:line="269" w:lineRule="auto"/>
        <w:ind w:left="360" w:hanging="216"/>
      </w:pPr>
      <w:r>
        <w:rPr>
          <w:rFonts w:ascii="Times New Roman" w:hAnsi="Times New Roman"/>
          <w:b w:val="0"/>
          <w:i w:val="0"/>
          <w:color w:val="0E2243"/>
          <w:sz w:val="22"/>
          <w:spacing w:val="0"/>
        </w:rPr>
        <w:t>Students need academic preparation, but they also need direction, confidence, adaptability, communication, problem solving, and support.</w:t>
      </w:r>
    </w:p>
    <w:p>
      <w:pPr>
        <w:pStyle w:val="ListBullet"/>
        <w:spacing w:before="0" w:after="60" w:line="269" w:lineRule="auto"/>
        <w:ind w:left="360" w:hanging="216"/>
      </w:pPr>
      <w:r>
        <w:rPr>
          <w:rFonts w:ascii="Times New Roman" w:hAnsi="Times New Roman"/>
          <w:b w:val="0"/>
          <w:i w:val="0"/>
          <w:color w:val="0E2243"/>
          <w:sz w:val="22"/>
          <w:spacing w:val="0"/>
        </w:rPr>
        <w:t>In the primary grades, this work is developmentally appropriate. It is about curiosity, confidence, responsibility, communication, imagination, and connecting school to the wider world, not asking young children to choose a career.</w:t>
      </w:r>
    </w:p>
    <w:p>
      <w:pPr>
        <w:pStyle w:val="ListBullet"/>
        <w:spacing w:before="0" w:after="60" w:line="269" w:lineRule="auto"/>
        <w:ind w:left="360" w:hanging="216"/>
      </w:pPr>
      <w:r>
        <w:rPr>
          <w:rFonts w:ascii="Times New Roman" w:hAnsi="Times New Roman"/>
          <w:b w:val="0"/>
          <w:i w:val="0"/>
          <w:color w:val="0E2243"/>
          <w:sz w:val="22"/>
          <w:spacing w:val="0"/>
        </w:rPr>
        <w:t>Buildings will begin with a manageable focus and use grade-band guidance rather than trying to do everything at once.</w:t>
      </w:r>
    </w:p>
    <w:p>
      <w:pPr>
        <w:pStyle w:val="ListBullet"/>
        <w:spacing w:before="0" w:after="60" w:line="269" w:lineRule="auto"/>
        <w:ind w:left="360" w:hanging="216"/>
      </w:pPr>
      <w:r>
        <w:rPr>
          <w:rFonts w:ascii="Times New Roman" w:hAnsi="Times New Roman"/>
          <w:b w:val="0"/>
          <w:i w:val="0"/>
          <w:color w:val="0E2243"/>
          <w:sz w:val="22"/>
          <w:spacing w:val="0"/>
        </w:rPr>
        <w:t>The district will support implementation and respond to building needs over time.</w:t>
      </w:r>
    </w:p>
    <w:p>
      <w:pPr>
        <w:spacing w:before="240" w:after="140" w:line="269" w:lineRule="auto"/>
      </w:pPr>
      <w:r>
        <w:rPr>
          <w:rFonts w:ascii="Times New Roman" w:hAnsi="Times New Roman"/>
          <w:b/>
          <w:i w:val="0"/>
          <w:color w:val="1B4F46"/>
          <w:sz w:val="32"/>
          <w:spacing w:val="0"/>
        </w:rPr>
        <w:t>A Note for Families of Young Children</w:t>
      </w:r>
    </w:p>
    <w:p>
      <w:pPr>
        <w:spacing w:before="0" w:after="100" w:line="269" w:lineRule="auto"/>
      </w:pPr>
      <w:r>
        <w:rPr>
          <w:rFonts w:ascii="Times New Roman" w:hAnsi="Times New Roman"/>
          <w:b w:val="0"/>
          <w:i w:val="0"/>
          <w:color w:val="0E2243"/>
          <w:sz w:val="22"/>
          <w:spacing w:val="0"/>
        </w:rPr>
        <w:t>Families of young children may wonder how preparation for life after high school applies to kindergarten, first grade, second grade, or other early elementary students. The answer is simple: the early grades build the foundation.</w:t>
      </w:r>
    </w:p>
    <w:p>
      <w:pPr>
        <w:spacing w:before="0" w:after="100" w:line="269" w:lineRule="auto"/>
      </w:pPr>
      <w:r>
        <w:rPr>
          <w:rFonts w:ascii="Times New Roman" w:hAnsi="Times New Roman"/>
          <w:b w:val="0"/>
          <w:i w:val="0"/>
          <w:color w:val="0E2243"/>
          <w:sz w:val="22"/>
          <w:spacing w:val="0"/>
        </w:rPr>
        <w:t>At this age, students are not being asked to choose a future career. They are learning how to ask questions, explain ideas, solve problems, work with others, take responsibility, notice their strengths, use their imagination, and see that learning has meaning beyond a worksheet or a test.</w:t>
      </w:r>
    </w:p>
    <w:tbl>
      <w:tblPr>
        <w:tblW w:type="dxa" w:w="9360"/>
        <w:tblLook w:firstColumn="1" w:firstRow="1" w:lastColumn="0" w:lastRow="0" w:noHBand="0" w:noVBand="1" w:val="04A0"/>
        <w:tblLayout w:type="fixed"/>
      </w:tblPr>
      <w:tblGrid>
        <w:gridCol w:w="9360"/>
      </w:tblGrid>
      <w:tr>
        <w:tc>
          <w:tcPr>
            <w:tcW w:type="dxa" w:w="9360"/>
            <w:shd w:fill="FBF7E8"/>
            <w:tcBorders>
              <w:top w:val="single" w:sz="6" w:space="0" w:color="C8DAD4"/>
              <w:left w:val="single" w:sz="6" w:space="0" w:color="C8DAD4"/>
              <w:bottom w:val="single" w:sz="6" w:space="0" w:color="C8DAD4"/>
              <w:right w:val="single" w:sz="6" w:space="0" w:color="C8DAD4"/>
            </w:tcBorders>
            <w:tcMar>
              <w:top w:w="140" w:type="dxa"/>
              <w:start w:w="160" w:type="dxa"/>
              <w:bottom w:w="140" w:type="dxa"/>
              <w:end w:w="160" w:type="dxa"/>
            </w:tcMar>
          </w:tcPr>
          <w:p>
            <w:pPr>
              <w:spacing w:before="0" w:after="80" w:line="269" w:lineRule="auto"/>
            </w:pPr>
            <w:r>
              <w:rPr>
                <w:rFonts w:ascii="Times New Roman" w:hAnsi="Times New Roman"/>
                <w:b/>
                <w:i w:val="0"/>
                <w:color w:val="1B4F46"/>
                <w:sz w:val="23"/>
                <w:spacing w:val="0"/>
              </w:rPr>
              <w:t>Example Family Question</w:t>
            </w:r>
          </w:p>
          <w:p>
            <w:pPr>
              <w:spacing w:before="0" w:after="0" w:line="269" w:lineRule="auto"/>
            </w:pPr>
            <w:r>
              <w:rPr>
                <w:rFonts w:ascii="Times New Roman" w:hAnsi="Times New Roman"/>
                <w:b w:val="0"/>
                <w:i w:val="0"/>
                <w:color w:val="0E2243"/>
                <w:sz w:val="22"/>
                <w:spacing w:val="0"/>
              </w:rPr>
              <w:t>If a young child says, 'I want to be a princess,' the goal is not to correct the dream or force a career plan. The goal is to help the child imagine, communicate, create, solve problems, learn about people and roles in the world, and build confidence. Those early skills matter no matter what that child later chooses to do.</w:t>
            </w:r>
          </w:p>
        </w:tc>
      </w:tr>
    </w:tbl>
    <w:p>
      <w:pPr>
        <w:spacing w:before="0" w:after="40" w:line="269" w:lineRule="auto"/>
      </w:pPr>
      <w:r>
        <w:rPr>
          <w:rFonts w:ascii="Times New Roman" w:hAnsi="Times New Roman"/>
          <w:b w:val="0"/>
          <w:i w:val="0"/>
          <w:color w:val="0E2243"/>
          <w:sz w:val="22"/>
          <w:spacing w:val="0"/>
        </w:rPr>
      </w:r>
    </w:p>
    <w:p>
      <w:pPr>
        <w:spacing w:before="100" w:after="60" w:line="269" w:lineRule="auto"/>
      </w:pPr>
      <w:r>
        <w:rPr>
          <w:rFonts w:ascii="Times New Roman" w:hAnsi="Times New Roman"/>
          <w:b/>
          <w:i w:val="0"/>
          <w:color w:val="1B4F46"/>
          <w:sz w:val="24"/>
          <w:spacing w:val="0"/>
        </w:rPr>
        <w:t>What This Looks Like in the Early Grades</w:t>
      </w:r>
    </w:p>
    <w:tbl>
      <w:tblPr>
        <w:tblW w:type="dxa" w:w="9360"/>
        <w:tblLook w:firstColumn="1" w:firstRow="1" w:lastColumn="0" w:lastRow="0" w:noHBand="0" w:noVBand="1" w:val="04A0"/>
        <w:tblLayout w:type="fixed"/>
      </w:tblPr>
      <w:tblGrid>
        <w:gridCol w:w="2350"/>
        <w:gridCol w:w="7010"/>
      </w:tblGrid>
      <w:tr>
        <w:tc>
          <w:tcPr>
            <w:tcW w:type="dxa" w:w="235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jc w:val="center"/>
            </w:pPr>
            <w:r>
              <w:rPr>
                <w:rFonts w:ascii="Times New Roman" w:hAnsi="Times New Roman"/>
                <w:b/>
                <w:i w:val="0"/>
                <w:color w:val="FFFFFF"/>
                <w:sz w:val="21"/>
                <w:spacing w:val="0"/>
              </w:rPr>
              <w:t>Early Skill</w:t>
            </w:r>
          </w:p>
        </w:tc>
        <w:tc>
          <w:tcPr>
            <w:tcW w:type="dxa" w:w="701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jc w:val="center"/>
            </w:pPr>
            <w:r>
              <w:rPr>
                <w:rFonts w:ascii="Times New Roman" w:hAnsi="Times New Roman"/>
                <w:b/>
                <w:i w:val="0"/>
                <w:color w:val="FFFFFF"/>
                <w:sz w:val="21"/>
                <w:spacing w:val="0"/>
              </w:rPr>
              <w:t>What Families Might See</w:t>
            </w:r>
          </w:p>
        </w:tc>
      </w:tr>
      <w:tr>
        <w:tc>
          <w:tcPr>
            <w:tcW w:type="dxa" w:w="23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i w:val="0"/>
                <w:color w:val="0E2243"/>
                <w:sz w:val="21"/>
                <w:spacing w:val="0"/>
              </w:rPr>
              <w:t>Curiosity</w:t>
            </w:r>
          </w:p>
        </w:tc>
        <w:tc>
          <w:tcPr>
            <w:tcW w:type="dxa" w:w="70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val="0"/>
                <w:i w:val="0"/>
                <w:color w:val="0E2243"/>
                <w:sz w:val="21"/>
                <w:spacing w:val="0"/>
              </w:rPr>
              <w:t>Students ask questions, explore ideas, and wonder how things work.</w:t>
            </w:r>
          </w:p>
        </w:tc>
      </w:tr>
      <w:tr>
        <w:tc>
          <w:tcPr>
            <w:tcW w:type="dxa" w:w="23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i w:val="0"/>
                <w:color w:val="0E2243"/>
                <w:sz w:val="21"/>
                <w:spacing w:val="0"/>
              </w:rPr>
              <w:t>Communication</w:t>
            </w:r>
          </w:p>
        </w:tc>
        <w:tc>
          <w:tcPr>
            <w:tcW w:type="dxa" w:w="70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val="0"/>
                <w:i w:val="0"/>
                <w:color w:val="0E2243"/>
                <w:sz w:val="21"/>
                <w:spacing w:val="0"/>
              </w:rPr>
              <w:t>Students explain their thinking, listen to others, and share ideas in age-appropriate ways.</w:t>
            </w:r>
          </w:p>
        </w:tc>
      </w:tr>
      <w:tr>
        <w:tc>
          <w:tcPr>
            <w:tcW w:type="dxa" w:w="23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i w:val="0"/>
                <w:color w:val="0E2243"/>
                <w:sz w:val="21"/>
                <w:spacing w:val="0"/>
              </w:rPr>
              <w:t>Problem solving</w:t>
            </w:r>
          </w:p>
        </w:tc>
        <w:tc>
          <w:tcPr>
            <w:tcW w:type="dxa" w:w="70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val="0"/>
                <w:i w:val="0"/>
                <w:color w:val="0E2243"/>
                <w:sz w:val="21"/>
                <w:spacing w:val="0"/>
              </w:rPr>
              <w:t>Students try different strategies, build, sort, compare, revise, or explain how they solved something.</w:t>
            </w:r>
          </w:p>
        </w:tc>
      </w:tr>
      <w:tr>
        <w:tc>
          <w:tcPr>
            <w:tcW w:type="dxa" w:w="23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i w:val="0"/>
                <w:color w:val="0E2243"/>
                <w:sz w:val="21"/>
                <w:spacing w:val="0"/>
              </w:rPr>
              <w:t>Responsibility</w:t>
            </w:r>
          </w:p>
        </w:tc>
        <w:tc>
          <w:tcPr>
            <w:tcW w:type="dxa" w:w="70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val="0"/>
                <w:i w:val="0"/>
                <w:color w:val="0E2243"/>
                <w:sz w:val="21"/>
                <w:spacing w:val="0"/>
              </w:rPr>
              <w:t>Students practice routines, take care of materials, complete simple roles, and reflect on choices.</w:t>
            </w:r>
          </w:p>
        </w:tc>
      </w:tr>
      <w:tr>
        <w:tc>
          <w:tcPr>
            <w:tcW w:type="dxa" w:w="23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i w:val="0"/>
                <w:color w:val="0E2243"/>
                <w:sz w:val="21"/>
                <w:spacing w:val="0"/>
              </w:rPr>
              <w:t>Imagination and creativity</w:t>
            </w:r>
          </w:p>
        </w:tc>
        <w:tc>
          <w:tcPr>
            <w:tcW w:type="dxa" w:w="70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val="0"/>
                <w:i w:val="0"/>
                <w:color w:val="0E2243"/>
                <w:sz w:val="21"/>
                <w:spacing w:val="0"/>
              </w:rPr>
              <w:t>Students draw, build, pretend, tell stories, design, and create as part of meaningful learning.</w:t>
            </w:r>
          </w:p>
        </w:tc>
      </w:tr>
      <w:tr>
        <w:tc>
          <w:tcPr>
            <w:tcW w:type="dxa" w:w="23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i w:val="0"/>
                <w:color w:val="0E2243"/>
                <w:sz w:val="21"/>
                <w:spacing w:val="0"/>
              </w:rPr>
              <w:t>Connection to the world</w:t>
            </w:r>
          </w:p>
        </w:tc>
        <w:tc>
          <w:tcPr>
            <w:tcW w:type="dxa" w:w="70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val="0"/>
                <w:i w:val="0"/>
                <w:color w:val="0E2243"/>
                <w:sz w:val="21"/>
                <w:spacing w:val="0"/>
              </w:rPr>
              <w:t>Students begin noticing helpers, places, jobs, community roles, and ways learning connects to life.</w:t>
            </w:r>
          </w:p>
        </w:tc>
      </w:tr>
    </w:tbl>
    <w:p>
      <w:pPr>
        <w:spacing w:before="0" w:after="40" w:line="269" w:lineRule="auto"/>
      </w:pPr>
      <w:r>
        <w:rPr>
          <w:rFonts w:ascii="Times New Roman" w:hAnsi="Times New Roman"/>
          <w:b w:val="0"/>
          <w:i w:val="0"/>
          <w:color w:val="0E2243"/>
          <w:sz w:val="22"/>
          <w:spacing w:val="0"/>
        </w:rPr>
      </w:r>
    </w:p>
    <w:p>
      <w:pPr>
        <w:spacing w:before="240" w:after="140" w:line="269" w:lineRule="auto"/>
      </w:pPr>
      <w:r>
        <w:rPr>
          <w:rFonts w:ascii="Times New Roman" w:hAnsi="Times New Roman"/>
          <w:b/>
          <w:i w:val="0"/>
          <w:color w:val="1B4F46"/>
          <w:sz w:val="32"/>
          <w:spacing w:val="0"/>
        </w:rPr>
        <w:t>What Families May Notice</w:t>
      </w:r>
    </w:p>
    <w:p>
      <w:pPr>
        <w:spacing w:before="100" w:after="60" w:line="269" w:lineRule="auto"/>
      </w:pPr>
      <w:r>
        <w:rPr>
          <w:rFonts w:ascii="Times New Roman" w:hAnsi="Times New Roman"/>
          <w:b/>
          <w:i w:val="0"/>
          <w:color w:val="1B4F46"/>
          <w:sz w:val="24"/>
          <w:spacing w:val="0"/>
        </w:rPr>
        <w:t>Possible Changes Families May See</w:t>
      </w:r>
    </w:p>
    <w:tbl>
      <w:tblPr>
        <w:tblW w:type="dxa" w:w="9360"/>
        <w:tblLook w:firstColumn="1" w:firstRow="1" w:lastColumn="0" w:lastRow="0" w:noHBand="0" w:noVBand="1" w:val="04A0"/>
        <w:tblLayout w:type="fixed"/>
      </w:tblPr>
      <w:tblGrid>
        <w:gridCol w:w="2350"/>
        <w:gridCol w:w="7010"/>
      </w:tblGrid>
      <w:tr>
        <w:tc>
          <w:tcPr>
            <w:tcW w:type="dxa" w:w="235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jc w:val="center"/>
            </w:pPr>
            <w:r>
              <w:rPr>
                <w:rFonts w:ascii="Times New Roman" w:hAnsi="Times New Roman"/>
                <w:b/>
                <w:i w:val="0"/>
                <w:color w:val="FFFFFF"/>
                <w:sz w:val="21"/>
                <w:spacing w:val="0"/>
              </w:rPr>
              <w:t>Area</w:t>
            </w:r>
          </w:p>
        </w:tc>
        <w:tc>
          <w:tcPr>
            <w:tcW w:type="dxa" w:w="701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jc w:val="center"/>
            </w:pPr>
            <w:r>
              <w:rPr>
                <w:rFonts w:ascii="Times New Roman" w:hAnsi="Times New Roman"/>
                <w:b/>
                <w:i w:val="0"/>
                <w:color w:val="FFFFFF"/>
                <w:sz w:val="21"/>
                <w:spacing w:val="0"/>
              </w:rPr>
              <w:t>Examples</w:t>
            </w:r>
          </w:p>
        </w:tc>
      </w:tr>
      <w:tr>
        <w:tc>
          <w:tcPr>
            <w:tcW w:type="dxa" w:w="23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i w:val="0"/>
                <w:color w:val="0E2243"/>
                <w:sz w:val="21"/>
                <w:spacing w:val="0"/>
              </w:rPr>
              <w:t>Student reflection</w:t>
            </w:r>
          </w:p>
        </w:tc>
        <w:tc>
          <w:tcPr>
            <w:tcW w:type="dxa" w:w="70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val="0"/>
                <w:i w:val="0"/>
                <w:color w:val="0E2243"/>
                <w:sz w:val="21"/>
                <w:spacing w:val="0"/>
              </w:rPr>
              <w:t>Students may be asked to reflect on strengths, interests, goals, skills, or how learning connects to future possibilities.</w:t>
            </w:r>
          </w:p>
        </w:tc>
      </w:tr>
      <w:tr>
        <w:tc>
          <w:tcPr>
            <w:tcW w:type="dxa" w:w="23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i w:val="0"/>
                <w:color w:val="0E2243"/>
                <w:sz w:val="21"/>
                <w:spacing w:val="0"/>
              </w:rPr>
              <w:t>Applied learning</w:t>
            </w:r>
          </w:p>
        </w:tc>
        <w:tc>
          <w:tcPr>
            <w:tcW w:type="dxa" w:w="70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val="0"/>
                <w:i w:val="0"/>
                <w:color w:val="0E2243"/>
                <w:sz w:val="21"/>
                <w:spacing w:val="0"/>
              </w:rPr>
              <w:t>Students may complete more tasks, projects, discussions, or demonstrations that connect learning to real-world use.</w:t>
            </w:r>
          </w:p>
        </w:tc>
      </w:tr>
      <w:tr>
        <w:tc>
          <w:tcPr>
            <w:tcW w:type="dxa" w:w="23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i w:val="0"/>
                <w:color w:val="0E2243"/>
                <w:sz w:val="21"/>
                <w:spacing w:val="0"/>
              </w:rPr>
              <w:t>Pathway awareness</w:t>
            </w:r>
          </w:p>
        </w:tc>
        <w:tc>
          <w:tcPr>
            <w:tcW w:type="dxa" w:w="70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val="0"/>
                <w:i w:val="0"/>
                <w:color w:val="0E2243"/>
                <w:sz w:val="21"/>
                <w:spacing w:val="0"/>
              </w:rPr>
              <w:t>Students may explore careers, postsecondary options, service, civic roles, or future planning questions in age-appropriate ways.</w:t>
            </w:r>
          </w:p>
        </w:tc>
      </w:tr>
      <w:tr>
        <w:tc>
          <w:tcPr>
            <w:tcW w:type="dxa" w:w="23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i w:val="0"/>
                <w:color w:val="0E2243"/>
                <w:sz w:val="21"/>
                <w:spacing w:val="0"/>
              </w:rPr>
              <w:t>Support and belonging</w:t>
            </w:r>
          </w:p>
        </w:tc>
        <w:tc>
          <w:tcPr>
            <w:tcW w:type="dxa" w:w="70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val="0"/>
                <w:i w:val="0"/>
                <w:color w:val="0E2243"/>
                <w:sz w:val="21"/>
                <w:spacing w:val="0"/>
              </w:rPr>
              <w:t>Schools may strengthen routines that help students feel known, connected, supported, and prepared to persist.</w:t>
            </w:r>
          </w:p>
        </w:tc>
      </w:tr>
      <w:tr>
        <w:tc>
          <w:tcPr>
            <w:tcW w:type="dxa" w:w="23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i w:val="0"/>
                <w:color w:val="0E2243"/>
                <w:sz w:val="21"/>
                <w:spacing w:val="0"/>
              </w:rPr>
              <w:t>Evidence review</w:t>
            </w:r>
          </w:p>
        </w:tc>
        <w:tc>
          <w:tcPr>
            <w:tcW w:type="dxa" w:w="70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60" w:line="259" w:lineRule="auto"/>
            </w:pPr>
            <w:r>
              <w:rPr>
                <w:rFonts w:ascii="Times New Roman" w:hAnsi="Times New Roman"/>
                <w:b w:val="0"/>
                <w:i w:val="0"/>
                <w:color w:val="0E2243"/>
                <w:sz w:val="21"/>
                <w:spacing w:val="0"/>
              </w:rPr>
              <w:t>Buildings may review lightweight evidence such as student reflections, participation patterns, projects, surveys, or team notes to improve implementation.</w:t>
            </w:r>
          </w:p>
        </w:tc>
      </w:tr>
    </w:tbl>
    <w:p>
      <w:pPr>
        <w:spacing w:before="0" w:after="40" w:line="269" w:lineRule="auto"/>
      </w:pPr>
      <w:r>
        <w:rPr>
          <w:rFonts w:ascii="Times New Roman" w:hAnsi="Times New Roman"/>
          <w:b w:val="0"/>
          <w:i w:val="0"/>
          <w:color w:val="0E2243"/>
          <w:sz w:val="22"/>
          <w:spacing w:val="0"/>
        </w:rPr>
      </w:r>
    </w:p>
    <w:p>
      <w:pPr>
        <w:spacing w:before="240" w:after="140" w:line="269" w:lineRule="auto"/>
      </w:pPr>
      <w:r>
        <w:rPr>
          <w:rFonts w:ascii="Times New Roman" w:hAnsi="Times New Roman"/>
          <w:b/>
          <w:i w:val="0"/>
          <w:color w:val="1B4F46"/>
          <w:sz w:val="32"/>
          <w:spacing w:val="0"/>
        </w:rPr>
        <w:t>Ways Families and Community Partners Can Support the Work</w:t>
      </w:r>
    </w:p>
    <w:p>
      <w:pPr>
        <w:pStyle w:val="ListBullet"/>
        <w:spacing w:before="0" w:after="60" w:line="269" w:lineRule="auto"/>
        <w:ind w:left="360" w:hanging="216"/>
      </w:pPr>
      <w:r>
        <w:rPr>
          <w:rFonts w:ascii="Times New Roman" w:hAnsi="Times New Roman"/>
          <w:b w:val="0"/>
          <w:i w:val="0"/>
          <w:color w:val="0E2243"/>
          <w:sz w:val="22"/>
          <w:spacing w:val="0"/>
        </w:rPr>
        <w:t>Ask students what they are learning and how it connects to life beyond school.</w:t>
      </w:r>
    </w:p>
    <w:p>
      <w:pPr>
        <w:pStyle w:val="ListBullet"/>
        <w:spacing w:before="0" w:after="60" w:line="269" w:lineRule="auto"/>
        <w:ind w:left="360" w:hanging="216"/>
      </w:pPr>
      <w:r>
        <w:rPr>
          <w:rFonts w:ascii="Times New Roman" w:hAnsi="Times New Roman"/>
          <w:b w:val="0"/>
          <w:i w:val="0"/>
          <w:color w:val="0E2243"/>
          <w:sz w:val="22"/>
          <w:spacing w:val="0"/>
        </w:rPr>
        <w:t>Talk with students about interests, goals, strengths, careers, service, and future possibilities.</w:t>
      </w:r>
    </w:p>
    <w:p>
      <w:pPr>
        <w:pStyle w:val="ListBullet"/>
        <w:spacing w:before="0" w:after="60" w:line="269" w:lineRule="auto"/>
        <w:ind w:left="360" w:hanging="216"/>
      </w:pPr>
      <w:r>
        <w:rPr>
          <w:rFonts w:ascii="Times New Roman" w:hAnsi="Times New Roman"/>
          <w:b w:val="0"/>
          <w:i w:val="0"/>
          <w:color w:val="0E2243"/>
          <w:sz w:val="22"/>
          <w:spacing w:val="0"/>
        </w:rPr>
        <w:t>Share career, community, service, or real-world learning opportunities when appropriate.</w:t>
      </w:r>
    </w:p>
    <w:p>
      <w:pPr>
        <w:pStyle w:val="ListBullet"/>
        <w:spacing w:before="0" w:after="60" w:line="269" w:lineRule="auto"/>
        <w:ind w:left="360" w:hanging="216"/>
      </w:pPr>
      <w:r>
        <w:rPr>
          <w:rFonts w:ascii="Times New Roman" w:hAnsi="Times New Roman"/>
          <w:b w:val="0"/>
          <w:i w:val="0"/>
          <w:color w:val="0E2243"/>
          <w:sz w:val="22"/>
          <w:spacing w:val="0"/>
        </w:rPr>
        <w:t>Support habits such as responsibility, communication, perseverance, reflection, and problem solving.</w:t>
      </w:r>
    </w:p>
    <w:p>
      <w:pPr>
        <w:pStyle w:val="ListBullet"/>
        <w:spacing w:before="0" w:after="60" w:line="269" w:lineRule="auto"/>
        <w:ind w:left="360" w:hanging="216"/>
      </w:pPr>
      <w:r>
        <w:rPr>
          <w:rFonts w:ascii="Times New Roman" w:hAnsi="Times New Roman"/>
          <w:b w:val="0"/>
          <w:i w:val="0"/>
          <w:color w:val="0E2243"/>
          <w:sz w:val="22"/>
          <w:spacing w:val="0"/>
        </w:rPr>
        <w:t>Partner with schools when invited to provide examples, mentorship, presentations, projects, or community connections.</w:t>
      </w:r>
    </w:p>
    <w:p>
      <w:pPr>
        <w:spacing w:before="240" w:after="140" w:line="269" w:lineRule="auto"/>
      </w:pPr>
      <w:r>
        <w:rPr>
          <w:rFonts w:ascii="Times New Roman" w:hAnsi="Times New Roman"/>
          <w:b/>
          <w:i w:val="0"/>
          <w:color w:val="1B4F46"/>
          <w:sz w:val="32"/>
          <w:spacing w:val="0"/>
        </w:rPr>
        <w:t>Short Website or Newsletter Version</w:t>
      </w:r>
    </w:p>
    <w:tbl>
      <w:tblPr>
        <w:tblW w:type="dxa" w:w="9360"/>
        <w:tblLook w:firstColumn="1" w:firstRow="1" w:lastColumn="0" w:lastRow="0" w:noHBand="0" w:noVBand="1" w:val="04A0"/>
        <w:tblLayout w:type="fixed"/>
      </w:tblPr>
      <w:tblGrid>
        <w:gridCol w:w="9360"/>
      </w:tblGrid>
      <w:tr>
        <w:tc>
          <w:tcPr>
            <w:tcW w:type="dxa" w:w="9360"/>
            <w:shd w:fill="F2F7F5"/>
            <w:tcBorders>
              <w:top w:val="single" w:sz="6" w:space="0" w:color="C8DAD4"/>
              <w:left w:val="single" w:sz="6" w:space="0" w:color="C8DAD4"/>
              <w:bottom w:val="single" w:sz="6" w:space="0" w:color="C8DAD4"/>
              <w:right w:val="single" w:sz="6" w:space="0" w:color="C8DAD4"/>
            </w:tcBorders>
            <w:tcMar>
              <w:top w:w="140" w:type="dxa"/>
              <w:start w:w="160" w:type="dxa"/>
              <w:bottom w:w="140" w:type="dxa"/>
              <w:end w:w="160" w:type="dxa"/>
            </w:tcMar>
          </w:tcPr>
          <w:p>
            <w:pPr>
              <w:spacing w:before="0" w:after="80" w:line="269" w:lineRule="auto"/>
            </w:pPr>
            <w:r>
              <w:rPr>
                <w:rFonts w:ascii="Times New Roman" w:hAnsi="Times New Roman"/>
                <w:b/>
                <w:i w:val="0"/>
                <w:color w:val="1B4F46"/>
                <w:sz w:val="23"/>
                <w:spacing w:val="0"/>
              </w:rPr>
              <w:t>Ready-to-Use Short Version</w:t>
            </w:r>
          </w:p>
          <w:p>
            <w:pPr>
              <w:spacing w:before="0" w:after="0" w:line="269" w:lineRule="auto"/>
            </w:pPr>
            <w:r>
              <w:rPr>
                <w:rFonts w:ascii="Times New Roman" w:hAnsi="Times New Roman"/>
                <w:b w:val="0"/>
                <w:i w:val="0"/>
                <w:color w:val="0E2243"/>
                <w:sz w:val="22"/>
                <w:spacing w:val="0"/>
              </w:rPr>
              <w:t>Our district is launching Preparing Students for Life After High School to strengthen how students connect learning to future opportunities, apply important skills, reflect on their goals, and prepare for college, career, service, civic participation, and adult life. This work does not replace academic standards or required curriculum. It helps schools embed future-ready experiences into the learning and support already taking place.</w:t>
            </w:r>
          </w:p>
        </w:tc>
      </w:tr>
    </w:tbl>
    <w:p>
      <w:pPr>
        <w:spacing w:before="0" w:after="40" w:line="269" w:lineRule="auto"/>
      </w:pPr>
      <w:r>
        <w:rPr>
          <w:rFonts w:ascii="Times New Roman" w:hAnsi="Times New Roman"/>
          <w:b w:val="0"/>
          <w:i w:val="0"/>
          <w:color w:val="0E2243"/>
          <w:sz w:val="22"/>
          <w:spacing w:val="0"/>
        </w:rPr>
      </w:r>
    </w:p>
    <w:p>
      <w:pPr>
        <w:spacing w:before="240" w:after="140" w:line="269" w:lineRule="auto"/>
      </w:pPr>
      <w:r>
        <w:rPr>
          <w:rFonts w:ascii="Times New Roman" w:hAnsi="Times New Roman"/>
          <w:b/>
          <w:i w:val="0"/>
          <w:color w:val="1B4F46"/>
          <w:sz w:val="32"/>
          <w:spacing w:val="0"/>
        </w:rPr>
        <w:t>Replace Before Sending</w:t>
      </w:r>
    </w:p>
    <w:p>
      <w:pPr>
        <w:pStyle w:val="ListBullet"/>
        <w:spacing w:before="0" w:after="60" w:line="269" w:lineRule="auto"/>
        <w:ind w:left="360" w:hanging="216"/>
      </w:pPr>
      <w:r>
        <w:rPr>
          <w:rFonts w:ascii="Times New Roman" w:hAnsi="Times New Roman"/>
          <w:b w:val="0"/>
          <w:i w:val="0"/>
          <w:color w:val="0E2243"/>
          <w:sz w:val="22"/>
          <w:spacing w:val="0"/>
        </w:rPr>
        <w:t>District or school name</w:t>
      </w:r>
    </w:p>
    <w:p>
      <w:pPr>
        <w:pStyle w:val="ListBullet"/>
        <w:spacing w:before="0" w:after="60" w:line="269" w:lineRule="auto"/>
        <w:ind w:left="360" w:hanging="216"/>
      </w:pPr>
      <w:r>
        <w:rPr>
          <w:rFonts w:ascii="Times New Roman" w:hAnsi="Times New Roman"/>
          <w:b w:val="0"/>
          <w:i w:val="0"/>
          <w:color w:val="0E2243"/>
          <w:sz w:val="22"/>
          <w:spacing w:val="0"/>
        </w:rPr>
        <w:t>Leader name and contact information</w:t>
      </w:r>
    </w:p>
    <w:p>
      <w:pPr>
        <w:pStyle w:val="ListBullet"/>
        <w:spacing w:before="0" w:after="60" w:line="269" w:lineRule="auto"/>
        <w:ind w:left="360" w:hanging="216"/>
      </w:pPr>
      <w:r>
        <w:rPr>
          <w:rFonts w:ascii="Times New Roman" w:hAnsi="Times New Roman"/>
          <w:b w:val="0"/>
          <w:i w:val="0"/>
          <w:color w:val="0E2243"/>
          <w:sz w:val="22"/>
          <w:spacing w:val="0"/>
        </w:rPr>
        <w:t>Starting domain or first area of focus</w:t>
      </w:r>
    </w:p>
    <w:p>
      <w:pPr>
        <w:pStyle w:val="ListBullet"/>
        <w:spacing w:before="0" w:after="60" w:line="269" w:lineRule="auto"/>
        <w:ind w:left="360" w:hanging="216"/>
      </w:pPr>
      <w:r>
        <w:rPr>
          <w:rFonts w:ascii="Times New Roman" w:hAnsi="Times New Roman"/>
          <w:b w:val="0"/>
          <w:i w:val="0"/>
          <w:color w:val="0E2243"/>
          <w:sz w:val="22"/>
          <w:spacing w:val="0"/>
        </w:rPr>
        <w:t>Buildings or grade bands included in the first launch</w:t>
      </w:r>
    </w:p>
    <w:p>
      <w:pPr>
        <w:pStyle w:val="ListBullet"/>
        <w:spacing w:before="0" w:after="60" w:line="269" w:lineRule="auto"/>
        <w:ind w:left="360" w:hanging="216"/>
      </w:pPr>
      <w:r>
        <w:rPr>
          <w:rFonts w:ascii="Times New Roman" w:hAnsi="Times New Roman"/>
          <w:b w:val="0"/>
          <w:i w:val="0"/>
          <w:color w:val="0E2243"/>
          <w:sz w:val="22"/>
          <w:spacing w:val="0"/>
        </w:rPr>
        <w:t>Any family/community meeting dates or partnership opportunities</w:t>
      </w:r>
    </w:p>
    <w:sectPr w:rsidR="00FC693F" w:rsidRPr="0006063C" w:rsidSect="00034616">
      <w:pgSz w:w="12240" w:h="15840"/>
      <w:pgMar w:top="108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olor w:val="0E224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Times New Roman" w:hAnsi="Times New Roman"/>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