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080"/>
        <w:tblLook w:firstColumn="1" w:firstRow="1" w:lastColumn="0" w:lastRow="0" w:noHBand="0" w:noVBand="1" w:val="04A0"/>
        <w:tblLayout w:type="fixed"/>
      </w:tblPr>
      <w:tblGrid>
        <w:gridCol w:w="10080"/>
      </w:tblGrid>
      <w:tr>
        <w:tc>
          <w:tcPr>
            <w:tcW w:type="dxa" w:w="10080"/>
            <w:shd w:fill="1B4F46"/>
            <w:tcBorders>
              <w:top w:val="single" w:sz="8" w:space="0" w:color="1B4F46"/>
              <w:left w:val="single" w:sz="8" w:space="0" w:color="1B4F46"/>
              <w:bottom w:val="single" w:sz="8" w:space="0" w:color="1B4F46"/>
              <w:right w:val="single" w:sz="8" w:space="0" w:color="1B4F46"/>
            </w:tcBorders>
            <w:tcMar>
              <w:top w:w="250" w:type="dxa"/>
              <w:start w:w="220" w:type="dxa"/>
              <w:bottom w:w="250" w:type="dxa"/>
              <w:end w:w="220" w:type="dxa"/>
            </w:tcMar>
          </w:tcPr>
          <w:p>
            <w:pPr>
              <w:jc w:val="center"/>
            </w:pPr>
            <w:r>
              <w:rPr>
                <w:rFonts w:ascii="Times New Roman" w:hAnsi="Times New Roman"/>
                <w:b/>
                <w:i w:val="0"/>
                <w:color w:val="D8B864"/>
                <w:sz w:val="36"/>
                <w:spacing w:val="0"/>
              </w:rPr>
              <w:t>Preparing Students for Life After High School</w:t>
            </w:r>
          </w:p>
          <w:p>
            <w:pPr>
              <w:jc w:val="center"/>
            </w:pPr>
            <w:r>
              <w:rPr>
                <w:rFonts w:ascii="Times New Roman" w:hAnsi="Times New Roman"/>
                <w:b/>
                <w:i w:val="0"/>
                <w:color w:val="FFFFFF"/>
                <w:sz w:val="28"/>
                <w:spacing w:val="0"/>
              </w:rPr>
              <w:t>Building Implementation Guide</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to Use This Guide and Why This Work Matters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Preparing students for life after high school should be central to the mission of K-12 education. Graduation is not the finish line by itself.</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This guide describes what students should experience across K-12 in order to leave high school prepared for enrollment, enlistment, employment, civic participation, and adult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Building teams should focus on the grade bands served in their specific building and use the implementation examples as starting points.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the public resource links inside each component row when the building team needs examples, models, or implementation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Complete the planning response table to identify local decisions, first actions, evidence, and district support needs.</w:t>
            </w:r>
          </w:p>
        </w:tc>
      </w:tr>
    </w:tbl>
    <w:p>
      <w:pPr>
        <w:spacing w:before="20" w:after="140" w:line="259" w:lineRule="auto"/>
      </w:pPr>
      <w:r>
        <w:rPr>
          <w:rFonts w:ascii="Times New Roman" w:hAnsi="Times New Roman"/>
          <w:b w:val="0"/>
          <w:i w:val="0"/>
          <w:color w:val="0E2243"/>
          <w:sz w:val="24"/>
          <w:spacing w:val="0"/>
        </w:rPr>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Enhancing Content, Not Adding Tasks</w:t>
            </w:r>
          </w:p>
          <w:p>
            <w:pPr>
              <w:spacing w:before="0" w:after="60" w:line="259" w:lineRule="auto"/>
            </w:pPr>
            <w:r>
              <w:rPr>
                <w:rFonts w:ascii="Times New Roman" w:hAnsi="Times New Roman"/>
                <w:b w:val="0"/>
                <w:i w:val="0"/>
                <w:color w:val="0E2243"/>
                <w:sz w:val="24"/>
                <w:spacing w:val="0"/>
              </w:rPr>
              <w:t>The strategies in this guide are designed to strengthen existing curriculum and instruction, not add a separate layer of work. Schools remain responsible for teaching required content, meeting state standards, preparing students for required assessments, and working within accountability expectations. This guide helps building teams embed future-ready skills, authentic application, student reflection, engagement, and readiness experiences into the instructional work already taking place. The goal is to make required learning more meaningful, connected, engaging, and useful for students without creating disconnected tasks or standalone initiatives.</w:t>
            </w:r>
          </w:p>
        </w:tc>
      </w:tr>
    </w:tbl>
    <w:p>
      <w:pPr>
        <w:spacing w:before="20" w:after="140" w:line="259" w:lineRule="auto"/>
      </w:pPr>
      <w:r>
        <w:rPr>
          <w:rFonts w:ascii="Times New Roman" w:hAnsi="Times New Roman"/>
          <w:b w:val="0"/>
          <w:i w:val="0"/>
          <w:color w:val="0E2243"/>
          <w:sz w:val="24"/>
          <w:spacing w:val="0"/>
        </w:rPr>
      </w:r>
    </w:p>
    <w:p>
      <w:pPr>
        <w:spacing w:before="140" w:after="80" w:line="259" w:lineRule="auto"/>
      </w:pPr>
      <w:r>
        <w:rPr>
          <w:rFonts w:ascii="Times New Roman" w:hAnsi="Times New Roman"/>
          <w:b/>
          <w:i w:val="0"/>
          <w:color w:val="1B4F46"/>
          <w:sz w:val="28"/>
          <w:spacing w:val="0"/>
        </w:rPr>
        <w:t>Example K-12 Skill Progression</w:t>
      </w:r>
    </w:p>
    <w:p>
      <w:pPr>
        <w:spacing w:before="0" w:after="120" w:line="259" w:lineRule="auto"/>
      </w:pPr>
      <w:r>
        <w:rPr>
          <w:rFonts w:ascii="Times New Roman" w:hAnsi="Times New Roman"/>
          <w:b w:val="0"/>
          <w:i w:val="0"/>
          <w:color w:val="0E2243"/>
          <w:sz w:val="24"/>
          <w:spacing w:val="0"/>
        </w:rPr>
        <w:t>The example below shows how one readiness skill can develop from kindergarten to postsecondary transition. It is included to help buildings see the progression across grade levels before applying this domain's guidance.</w:t>
      </w:r>
    </w:p>
    <w:tbl>
      <w:tblPr>
        <w:tblStyle w:val="TableGrid"/>
        <w:tblW w:type="dxa" w:w="10080"/>
        <w:tblLook w:firstColumn="1" w:firstRow="1" w:lastColumn="0" w:lastRow="0" w:noHBand="0" w:noVBand="1" w:val="04A0"/>
        <w:tblLayout w:type="fixed"/>
      </w:tblPr>
      <w:tblGrid>
        <w:gridCol w:w="2200"/>
        <w:gridCol w:w="1576"/>
        <w:gridCol w:w="1576"/>
        <w:gridCol w:w="1576"/>
        <w:gridCol w:w="1576"/>
        <w:gridCol w:w="1576"/>
      </w:tblGrid>
      <w:tr>
        <w:tc>
          <w:tcPr>
            <w:tcW w:type="dxa" w:w="2200"/>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Readiness Skill Area</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K-2</w:t>
              <w:br/>
              <w:t>Foundational Baseline</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3-5</w:t>
              <w:br/>
              <w:t>Independent Ownership</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6-8</w:t>
              <w:br/>
              <w:t>Targeted Exploration</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9-10</w:t>
              <w:br/>
              <w:t>Pathway Alignment</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11-12</w:t>
              <w:br/>
              <w:t>Postsecondary Transition and Applied Readiness</w:t>
            </w:r>
          </w:p>
        </w:tc>
      </w:tr>
      <w:tr>
        <w:tc>
          <w:tcPr>
            <w:tcW w:type="dxa" w:w="2200"/>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shd w:fill="F2F7F5"/>
          </w:tcPr>
          <w:p>
            <w:pPr>
              <w:spacing w:before="20" w:after="60" w:line="259" w:lineRule="auto"/>
            </w:pPr>
            <w:r>
              <w:rPr>
                <w:rFonts w:ascii="Times New Roman" w:hAnsi="Times New Roman"/>
                <w:b/>
                <w:i w:val="0"/>
                <w:color w:val="1B4F46"/>
                <w:sz w:val="24"/>
                <w:spacing w:val="0"/>
              </w:rPr>
              <w:t>Leadership Ownership</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Leaders clarify who monitors early readiness routines, belonging, participation, attendance, family communication, and support follow-up.</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Leaders clarify ownership for project quality, participation, collaboration, student work, enrichment, supports, and grade-level improvement.</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Leaders coordinate advisory, career exploration, activities, support teams, transition planning, and evidence review across teams.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Leaders monitor transition, on-track indicators, course/pathway access, early warning responses, and re-engagement routines.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Leaders monitor graduation, applications, financial aid, credentials, work-based learning, barriers, and postsecondary transition milestones.</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K-12 Developmental Shifts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collecting data to using evidence for action and follow-through.</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isolated leadership decisions to shared routines with clear ownership and cadence.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annual planning to short improvement cycles that test, learn, adjust, and spread stronger practice.</w:t>
            </w:r>
          </w:p>
        </w:tc>
      </w:tr>
    </w:tbl>
    <w:p>
      <w:pPr>
        <w:spacing w:before="20" w:after="140" w:line="259" w:lineRule="auto"/>
      </w:pPr>
      <w:r>
        <w:rPr>
          <w:rFonts w:ascii="Times New Roman" w:hAnsi="Times New Roman"/>
          <w:b w:val="0"/>
          <w:i w:val="0"/>
          <w:color w:val="0E2243"/>
          <w:sz w:val="24"/>
          <w:spacing w:val="0"/>
        </w:rPr>
      </w:r>
    </w:p>
    <w:p>
      <w:pPr>
        <w:spacing w:before="200" w:after="80" w:line="259" w:lineRule="auto"/>
      </w:pPr>
      <w:r>
        <w:rPr>
          <w:rFonts w:ascii="Times New Roman" w:hAnsi="Times New Roman"/>
          <w:b/>
          <w:i w:val="0"/>
          <w:color w:val="1B4F46"/>
          <w:sz w:val="30"/>
          <w:spacing w:val="0"/>
        </w:rPr>
        <w:t>Domain 7: Leadership, Evidence, and Continuous Improvement</w:t>
      </w:r>
    </w:p>
    <w:p>
      <w:pPr>
        <w:spacing w:before="60" w:after="60" w:line="259" w:lineRule="auto"/>
      </w:pPr>
      <w:r>
        <w:rPr>
          <w:rFonts w:ascii="Times New Roman" w:hAnsi="Times New Roman"/>
          <w:b/>
          <w:i w:val="0"/>
          <w:color w:val="0E2243"/>
          <w:sz w:val="26"/>
          <w:spacing w:val="0"/>
        </w:rPr>
        <w:t>Domain Purpose</w:t>
      </w:r>
    </w:p>
    <w:p>
      <w:pPr>
        <w:spacing w:before="0" w:after="120" w:line="259" w:lineRule="auto"/>
      </w:pPr>
      <w:r>
        <w:rPr>
          <w:rFonts w:ascii="Times New Roman" w:hAnsi="Times New Roman"/>
          <w:b w:val="0"/>
          <w:i w:val="0"/>
          <w:color w:val="0E2243"/>
          <w:sz w:val="24"/>
          <w:spacing w:val="0"/>
        </w:rPr>
        <w:t>Domain 7 determines whether the building has leadership routines, evidence review processes, improvement cycles, and follow-through structures strong enough to monitor and improve readiness work over time.</w:t>
      </w:r>
    </w:p>
    <w:tbl>
      <w:tblPr>
        <w:tblStyle w:val="TableGrid"/>
        <w:tblW w:type="dxa" w:w="10080"/>
        <w:tblLook w:firstColumn="1" w:firstRow="1" w:lastColumn="0" w:lastRow="0" w:noHBand="0" w:noVBand="1" w:val="04A0"/>
        <w:tblLayout w:type="fixed"/>
      </w:tblPr>
      <w:tblGrid>
        <w:gridCol w:w="10080"/>
      </w:tblGrid>
      <w:tr>
        <w:tc>
          <w:tcPr>
            <w:tcW w:type="dxa" w:w="10080"/>
            <w:shd w:fill="EFF5FB"/>
            <w:tcBorders>
              <w:top w:val="single" w:sz="8" w:space="0" w:color="B8C7DA"/>
              <w:left w:val="single" w:sz="8" w:space="0" w:color="B8C7DA"/>
              <w:bottom w:val="single" w:sz="8" w:space="0" w:color="B8C7DA"/>
              <w:right w:val="single" w:sz="8" w:space="0" w:color="B8C7DA"/>
            </w:tcBorders>
            <w:tcMar>
              <w:top w:w="180" w:type="dxa"/>
              <w:start w:w="210" w:type="dxa"/>
              <w:bottom w:w="180" w:type="dxa"/>
              <w:end w:w="210" w:type="dxa"/>
            </w:tcMar>
          </w:tcPr>
          <w:p>
            <w:pPr>
              <w:spacing w:before="20" w:after="60" w:line="259" w:lineRule="auto"/>
            </w:pPr>
            <w:r>
              <w:rPr>
                <w:rFonts w:ascii="Times New Roman" w:hAnsi="Times New Roman"/>
                <w:b w:val="0"/>
                <w:i w:val="0"/>
                <w:color w:val="0E2243"/>
                <w:sz w:val="24"/>
                <w:spacing w:val="0"/>
              </w:rPr>
              <w:t>District-wide expectation: Every building must establish a clear leadership cadence for reviewing readiness evidence, assigning ownership, removing barriers, testing improvements, communicating next actions, and following through. Buildings should monitor both student outcomes and adult implementation evidence, use short improvement cycles to strengthen practice, and share learning across grade bands so readiness work becomes coherent, visible, and sustainable.</w:t>
            </w:r>
          </w:p>
        </w:tc>
      </w:tr>
    </w:tbl>
    <w:p>
      <w:pPr>
        <w:spacing w:before="20" w:after="140" w:line="259" w:lineRule="auto"/>
      </w:pPr>
      <w:r>
        <w:rPr>
          <w:rFonts w:ascii="Times New Roman" w:hAnsi="Times New Roman"/>
          <w:b w:val="0"/>
          <w:i w:val="0"/>
          <w:color w:val="0E2243"/>
          <w:sz w:val="24"/>
          <w:spacing w:val="0"/>
        </w:rPr>
      </w:r>
    </w:p>
    <w:p>
      <w:pPr>
        <w:spacing w:before="160" w:after="100" w:line="259" w:lineRule="auto"/>
      </w:pPr>
      <w:r>
        <w:rPr>
          <w:rFonts w:ascii="Times New Roman" w:hAnsi="Times New Roman"/>
          <w:b/>
          <w:i w:val="0"/>
          <w:color w:val="1B4F46"/>
          <w:sz w:val="28"/>
          <w:spacing w:val="0"/>
        </w:rPr>
        <w:t>Grade-Band Implementation Direction</w:t>
      </w:r>
    </w:p>
    <w:p>
      <w:pPr>
        <w:spacing w:before="240" w:after="40" w:line="259" w:lineRule="auto"/>
      </w:pPr>
      <w:r>
        <w:rPr>
          <w:rFonts w:ascii="Times New Roman" w:hAnsi="Times New Roman"/>
          <w:b/>
          <w:i w:val="0"/>
          <w:color w:val="0E2243"/>
          <w:sz w:val="28"/>
          <w:spacing w:val="0"/>
        </w:rPr>
        <w:t>Grades K-2</w:t>
      </w:r>
    </w:p>
    <w:p>
      <w:pPr>
        <w:spacing w:before="0" w:after="100" w:line="259" w:lineRule="auto"/>
      </w:pPr>
      <w:r>
        <w:rPr>
          <w:rFonts w:ascii="Times New Roman" w:hAnsi="Times New Roman"/>
          <w:b w:val="0"/>
          <w:i/>
          <w:color w:val="1B4F46"/>
          <w:sz w:val="24"/>
          <w:spacing w:val="0"/>
        </w:rPr>
        <w:t>Create leadership and evidence routines that protect early readiness, belonging, participation, attendance, family communication, and timely support.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consistent classroom routines because leaders and grade teams monitor whether those routines are actually happening.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early support when attendance, participation, behavior, language, disability, belonging, or family communication barriers appear.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benefit from small adjustments that leaders and teams make based on student work, teacher evidence, family feedback, and participation patterns.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readiness work as part of daily classroom life rather than as a temporary initiative.</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CASEL: Fundamentals of SEL</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Attendance Works: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a simple K-2 evidence cycle to review participation, attendance, belonging, reflection, classroom routines, family communication, and support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Assign clear owners for reviewing evidence, leading team discussion, documenting actions, and following up on barriers.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Test small changes in routines, communication, support responses, and participation structures, then review whether the change helped.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Communicate next actions clearly to grade teams, support staff, and families when needed.</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leadership cadence for reviewing early readiness evidence at least monthly.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simple action tracker showing concern, action, owner, timeline, follow-up, and evidence of progress.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small-test improvement routine for classroom participation, attendance support, family communication, and early intervention.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sharing what works across classrooms and adjusting routines when evidence shows uneven implementation.</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PBIS: Positive Behavioral Interventions and Supports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Monthly early readiness review: grade teams examine attendance, participation, family communication, student reflection, and support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Action tracker: the team records the barrier, action, adult owner, deadline, and follow-up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Small test of change: one grade level tries a new morning welcome, family message, or participation routine for two weeks and reviews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Classroom routine walkthrough: leaders look for agreed-upon routines such as greetings, student voice, help-seeking,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feedback check: teams gather a small amount of feedback on whether families understand routines, supports, and attendance expectations.</w:t>
            </w:r>
          </w:p>
          <w:p>
            <w:pPr>
              <w:spacing w:before="100" w:after="0" w:line="259" w:lineRule="auto"/>
            </w:pPr>
            <w:r>
              <w:rPr>
                <w:rFonts w:ascii="Times New Roman" w:hAnsi="Times New Roman"/>
                <w:b/>
                <w:i w:val="0"/>
                <w:color w:val="1B4F46"/>
                <w:sz w:val="24"/>
                <w:spacing w:val="0"/>
              </w:rPr>
              <w:t xml:space="preserve">Resources: </w:t>
            </w:r>
            <w:hyperlink r:id="rId16">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Teacher Toolkit: Think-Pair-Share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Team meeting notes, action trackers, participation scans, attendance data, family contact logs, support follow-up, and student reflection artifacts.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Leadership notes showing which routines were reviewed, what was learned, and what action was taken.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and family feedback about belonging, support, communication, and confidence.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Examples of routines that were adjusted and evidence showing whether the adjustment helped.</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leadership and evidence review calendar.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simple action tracker for early readiness barriers and support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testing, reviewing, and spreading effective K-2 routines.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K-2: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3-5</w:t>
      </w:r>
    </w:p>
    <w:p>
      <w:pPr>
        <w:spacing w:before="0" w:after="100" w:line="259" w:lineRule="auto"/>
      </w:pPr>
      <w:r>
        <w:rPr>
          <w:rFonts w:ascii="Times New Roman" w:hAnsi="Times New Roman"/>
          <w:b w:val="0"/>
          <w:i/>
          <w:color w:val="1B4F46"/>
          <w:sz w:val="24"/>
          <w:spacing w:val="0"/>
        </w:rPr>
        <w:t>Use leadership routines to monitor project quality, participation, collaboration, access, student work, enrichment, support, and improvement actions.</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meaningful projects, enrichment, technology, leadership, collaboration, and support because leaders monitor access and quality.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benefit when grade teams review student work and participation evidence, not only test scores or final grades.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stronger routines over time because teams test, learn from, and refine project, feedback, collaboration, and support practices.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see consistent expectations for quality work, student roles, peer feedback, and reflection across classrooms.</w:t>
            </w:r>
          </w:p>
          <w:p>
            <w:pPr>
              <w:spacing w:before="100" w:after="0" w:line="259" w:lineRule="auto"/>
            </w:pPr>
            <w:r>
              <w:rPr>
                <w:rFonts w:ascii="Times New Roman" w:hAnsi="Times New Roman"/>
                <w:b/>
                <w:i w:val="0"/>
                <w:color w:val="1B4F46"/>
                <w:sz w:val="24"/>
                <w:spacing w:val="0"/>
              </w:rPr>
              <w:t xml:space="preserve">Resources: </w:t>
            </w:r>
            <w:hyperlink r:id="rId19">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CAST UDL Guidelines</w:t>
              </w:r>
            </w:hyperlink>
            <w:r>
              <w:rPr>
                <w:rFonts w:ascii="Times New Roman" w:hAnsi="Times New Roman"/>
                <w:b w:val="0"/>
                <w:i w:val="0"/>
                <w:color w:val="0E2243"/>
                <w:sz w:val="24"/>
                <w:spacing w:val="0"/>
              </w:rPr>
              <w:t xml:space="preserve">; </w:t>
            </w:r>
            <w:hyperlink r:id="rId20">
              <w:r>
                <w:rPr>
                  <w:rFonts w:ascii="Times New Roman" w:hAnsi="Times New Roman"/>
                  <w:sz w:val="24"/>
                  <w:color w:val="1F4E79"/>
                  <w:u w:val="single"/>
                </w:rPr>
                <w:t>Learning Policy Institute: Equitable Access and Opportunity</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student work, project artifacts, participation, support access, enrichment access, attendance, discipline, and student voice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a team protocol to identify what evidence shows, what barrier is producing the pattern, and what action will be tested.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Assign adult owners for follow-up actions connected to project quality, access, support, and participation.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Share effective practices across classrooms when evidence shows a routine is working.</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PBLWorks: Rubrics and Teacher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evidence review cadence focused on project quality, participation, access, support, student work, and student voice.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student-work and opportunity-access protocol for grade-level teams.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short-cycle improvement process for project routines, role rotation, peer feedback, enrichment access, and support responses.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leadership follow-up process that confirms actions were completed and evidence was reviewed again.</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22">
              <w:r>
                <w:rPr>
                  <w:rFonts w:ascii="Times New Roman" w:hAnsi="Times New Roman"/>
                  <w:sz w:val="24"/>
                  <w:color w:val="1F4E79"/>
                  <w:u w:val="single"/>
                </w:rPr>
                <w:t>Learning Policy Institute: Effective Teacher Professional Development</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PBLWorks: Getting Started with Project Based Learning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work protocol: teams review project samples, rubrics, reflections, and revisions to identify patterns in quality and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Opportunity access review: teams examine who receives enrichment, leadership, technology, project roles, presentation opportunities, and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Small test of change: a team tests a role-rotation chart, peer feedback protocol, or project scaffold and reviews participation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Leadership action huddle: a short meeting identifies one barrier, one action, one owner, and one review date.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Spread routine: a teacher shares a successful project or support routine, and the team adapts it across classrooms.</w:t>
            </w:r>
          </w:p>
          <w:p>
            <w:pPr>
              <w:spacing w:before="100" w:after="0" w:line="259" w:lineRule="auto"/>
            </w:pPr>
            <w:r>
              <w:rPr>
                <w:rFonts w:ascii="Times New Roman" w:hAnsi="Times New Roman"/>
                <w:b/>
                <w:i w:val="0"/>
                <w:color w:val="1B4F46"/>
                <w:sz w:val="24"/>
                <w:spacing w:val="0"/>
              </w:rPr>
              <w:t xml:space="preserve">Resources: </w:t>
            </w:r>
            <w:hyperlink r:id="rId19">
              <w:r>
                <w:rPr>
                  <w:rFonts w:ascii="Times New Roman" w:hAnsi="Times New Roman"/>
                  <w:sz w:val="24"/>
                  <w:color w:val="1F4E79"/>
                  <w:u w:val="single"/>
                </w:rPr>
                <w:t>PBLWorks: Project Library</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plans, student work, rubrics, revisions, peer feedback records, student reflections, and presentation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in enrichment, technology, leadership, project roles, support services, attendance, and discipline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PLC notes, action trackers, leadership follow-up notes, and evidence from small tests of change.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voice data about challenge, support, relevance, participation, and belonging.</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PBLWorks: Rubrics and Teacher Resources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leadership and evidence review calendar.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student-work and opportunity-access review protocol.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improvement action tracker for project quality, access, participation, and support.</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3-5: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6-8</w:t>
      </w:r>
    </w:p>
    <w:p>
      <w:pPr>
        <w:spacing w:before="0" w:after="100" w:line="259" w:lineRule="auto"/>
      </w:pPr>
      <w:r>
        <w:rPr>
          <w:rFonts w:ascii="Times New Roman" w:hAnsi="Times New Roman"/>
          <w:b w:val="0"/>
          <w:i/>
          <w:color w:val="1B4F46"/>
          <w:sz w:val="24"/>
          <w:spacing w:val="0"/>
        </w:rPr>
        <w:t>Coordinate leadership, evidence, and improvement routines for advisory, career exploration, student support, activities, project work, and high school transition.</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consistent advisory, career exploration, activity access, project expectations, support routines, and transition guidance.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benefit when leaders monitor who is connected, advised, supported, included, and prepared for high school choices.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faster support when evidence shows attendance, belonging, grades, behavior, activity connection, or transition readiness concerns.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see improvement because teams test and refine advisory, project, activity, and support routines based on evidence.</w:t>
            </w:r>
          </w:p>
          <w:p>
            <w:pPr>
              <w:spacing w:before="100" w:after="0" w:line="259" w:lineRule="auto"/>
            </w:pPr>
            <w:r>
              <w:rPr>
                <w:rFonts w:ascii="Times New Roman" w:hAnsi="Times New Roman"/>
                <w:b/>
                <w:i w:val="0"/>
                <w:color w:val="1B4F46"/>
                <w:sz w:val="24"/>
                <w:spacing w:val="0"/>
              </w:rPr>
              <w:t xml:space="preserve">Resources: </w:t>
            </w:r>
            <w:hyperlink r:id="rId24">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advisory artifacts, career exploration evidence, activity participation, grades, attendance, behavior, support access, student voice, and transition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student-success or grade-team meetings to identify patterns, name barriers, assign adult follow-up, and review progress.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Test changes in advisory, career exploration, activity connection, project management, support responses, and transition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teachers, counselors, support staff, activity sponsors, families, and building leaders around shared evidence and next actions.</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leadership cadence for advisory, career exploration, support, activity access, project evidence, and transition readiness.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student-success evidence review process with clear owners and follow-up dates.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short-cycle improvement routine for advisory, activity connection, career exploration, project management, and transition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communication process that keeps students and families informed about opportunities, supports, and high school transition steps.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24">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PBIS: Positive Behavioral Interventions and Supports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Advisory evidence review: teams examine student reflections, conference notes, career artifacts, belonging checks, and support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Activity connection review: staff identify students not connected to clubs, leadership, service, arts, STEM, or teams and assign outreach.</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Transition readiness huddle: teams review course-choice questions, support needs, career interests, family communication, and next actions.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Small test of change: one team tries a new advisory conference protocol or activity invitation process and reviews participation data.</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management review: teachers compare evidence of roles, timelines, feedback, revision, and student ownership across teams.</w:t>
            </w:r>
          </w:p>
          <w:p>
            <w:pPr>
              <w:spacing w:before="100" w:after="0" w:line="259" w:lineRule="auto"/>
            </w:pPr>
            <w:r>
              <w:rPr>
                <w:rFonts w:ascii="Times New Roman" w:hAnsi="Times New Roman"/>
                <w:b/>
                <w:i w:val="0"/>
                <w:color w:val="1B4F46"/>
                <w:sz w:val="24"/>
                <w:spacing w:val="0"/>
              </w:rPr>
              <w:t xml:space="preserve">Resources: </w:t>
            </w:r>
            <w:hyperlink r:id="rId26">
              <w:r>
                <w:rPr>
                  <w:rFonts w:ascii="Times New Roman" w:hAnsi="Times New Roman"/>
                  <w:sz w:val="24"/>
                  <w:color w:val="1F4E79"/>
                  <w:u w:val="single"/>
                </w:rPr>
                <w:t>My Next Move: O*NET Interest Profiler</w:t>
              </w:r>
            </w:hyperlink>
            <w:r>
              <w:rPr>
                <w:rFonts w:ascii="Times New Roman" w:hAnsi="Times New Roman"/>
                <w:b w:val="0"/>
                <w:i w:val="0"/>
                <w:color w:val="0E2243"/>
                <w:sz w:val="24"/>
                <w:spacing w:val="0"/>
              </w:rPr>
              <w:t xml:space="preserve">; </w:t>
            </w:r>
            <w:hyperlink r:id="rId27">
              <w:r>
                <w:rPr>
                  <w:rFonts w:ascii="Times New Roman" w:hAnsi="Times New Roman"/>
                  <w:sz w:val="24"/>
                  <w:color w:val="1F4E79"/>
                  <w:u w:val="single"/>
                </w:rPr>
                <w:t>CareerOneStop Career Videos</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Advisory logs, career artifacts, student conference notes, portfolio evidence, project artifacts, activity rosters, and transition materials.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grades, behavior, support referrals, activity participation, career exploration, and student voice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Action trackers showing adult owner, barrier, action, timeline, follow-up, and outcome.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and family feedback about support, belonging, communication, opportunities, and transition clarity.</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Attendance Works: Resources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leadership and evidence review calendar.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student-success action tracker for advisory, support, activities, career exploration, and transition readiness.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short-cycle improvement process for middle-level readiness routines.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6-8: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9-10</w:t>
      </w:r>
    </w:p>
    <w:p>
      <w:pPr>
        <w:spacing w:before="0" w:after="100" w:line="259" w:lineRule="auto"/>
      </w:pPr>
      <w:r>
        <w:rPr>
          <w:rFonts w:ascii="Times New Roman" w:hAnsi="Times New Roman"/>
          <w:b w:val="0"/>
          <w:i/>
          <w:color w:val="1B4F46"/>
          <w:sz w:val="24"/>
          <w:spacing w:val="0"/>
        </w:rPr>
        <w:t>Use leadership and evidence routines to protect high school transition, on-track progress, course/pathway access, engagement, support, and re-engagement.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coordinated adult monitoring of attendance, credits, grades, belonging, course access, activities, pathway entry,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timely adult follow-up when early evidence shows they are disconnected, off track, under-supported, or blocked from opportunity.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benefit when leaders examine whether adult responses are happening, not only whether student outcomes changed.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stronger pathway and support routines as teams test improvements and review evidence quickly.</w:t>
            </w:r>
          </w:p>
          <w:p>
            <w:pPr>
              <w:spacing w:before="100" w:after="0" w:line="259" w:lineRule="auto"/>
            </w:pPr>
            <w:r>
              <w:rPr>
                <w:rFonts w:ascii="Times New Roman" w:hAnsi="Times New Roman"/>
                <w:b/>
                <w:i w:val="0"/>
                <w:color w:val="1B4F46"/>
                <w:sz w:val="24"/>
                <w:spacing w:val="0"/>
              </w:rPr>
              <w:t xml:space="preserve">Resources: </w:t>
            </w:r>
            <w:hyperlink r:id="rId25">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29">
              <w:r>
                <w:rPr>
                  <w:rFonts w:ascii="Times New Roman" w:hAnsi="Times New Roman"/>
                  <w:sz w:val="24"/>
                  <w:color w:val="1F4E79"/>
                  <w:u w:val="single"/>
                </w:rPr>
                <w:t>Education Trust: Inequities in Advanced Coursework</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PERTS: Student Belonging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on-track indicators, course enrollment, pathway access, activity participation, attendance, grades, discipline, support use, and belonging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student-success routines to assign adult follow-up, remove barriers, communicate with families, and review progress.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Test changes in advising, rigorous-course supports, pathway entry, activity connection, re-engagement, and early warning responses.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whether adult practice is consistent across grade-level teams, departments, counselors, and support systems.</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Attendance Works: Resources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leadership cadence for on-track progress, transition support, course/pathway access, activities, and early warning response.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student-success action tracker that includes adult follow-up, barrier removal, family contact, support, and evidence review.</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short-cycle improvement process for advising, pathway access, rigorous-course supports, activity connection, and re-engagement.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communicating progress, concerns, opportunities, and supports to students and families.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IES REL Central: Individual Plans of Study Tip Sheet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On-track leadership review: teams examine attendance, credits, grades, support use, course access, activities, and pathway participation.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Adult response audit: leaders check whether early warning concerns led to contact, support, barrier solving, and follow-up.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Course/pathway access review: teams identify participation patterns and test changes in outreach, advising, support, or scheduling.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Re-engagement cycle: students returning from absence, discipline, or academic difficulty receive a plan, adult owner, and review date.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Small test of change: a team tests a new ninth-grade conference, tutoring routine, activity outreach, or family communication cycle.</w:t>
            </w:r>
          </w:p>
          <w:p>
            <w:pPr>
              <w:spacing w:before="100" w:after="0" w:line="259" w:lineRule="auto"/>
            </w:pPr>
            <w:r>
              <w:rPr>
                <w:rFonts w:ascii="Times New Roman" w:hAnsi="Times New Roman"/>
                <w:b/>
                <w:i w:val="0"/>
                <w:color w:val="1B4F46"/>
                <w:sz w:val="24"/>
                <w:spacing w:val="0"/>
              </w:rPr>
              <w:t xml:space="preserve">Resources: </w:t>
            </w:r>
            <w:hyperlink r:id="rId31">
              <w:r>
                <w:rPr>
                  <w:rFonts w:ascii="Times New Roman" w:hAnsi="Times New Roman"/>
                  <w:sz w:val="24"/>
                  <w:color w:val="1F4E79"/>
                  <w:u w:val="single"/>
                </w:rPr>
                <w:t>FCPS: High School Academic and Career Plan</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Attendance, credits, grades, course requests, pathway participation, activity connection, support use, discipline, and belonging reviewed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Student-success team notes, action trackers, family contact records, support plans, re-engagement plans, and adult follow-up logs.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Evidence from advising conversations, rigorous-course supports, tutoring, activity outreach, and pathway-entry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and family feedback about clarity, support, encouragement, opportunity access, and next actions.</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OCR Civil Rights Data Collection</w:t>
              </w:r>
            </w:hyperlink>
            <w:r>
              <w:rPr>
                <w:rFonts w:ascii="Times New Roman" w:hAnsi="Times New Roman"/>
                <w:b w:val="0"/>
                <w:i w:val="0"/>
                <w:color w:val="0E2243"/>
                <w:sz w:val="24"/>
                <w:spacing w:val="0"/>
              </w:rPr>
              <w:t xml:space="preserve">; </w:t>
            </w:r>
            <w:hyperlink r:id="rId29">
              <w:r>
                <w:rPr>
                  <w:rFonts w:ascii="Times New Roman" w:hAnsi="Times New Roman"/>
                  <w:sz w:val="24"/>
                  <w:color w:val="1F4E79"/>
                  <w:u w:val="single"/>
                </w:rPr>
                <w:t>Education Trust: Inequities in Advanced Coursework</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leadership and evidence review calendar.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on-track and early warning action tracker.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short-cycle improvement process for transition, pathway access, supports, and re-engagement.</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9-10: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11-12</w:t>
      </w:r>
    </w:p>
    <w:p>
      <w:pPr>
        <w:spacing w:before="0" w:after="100" w:line="259" w:lineRule="auto"/>
      </w:pPr>
      <w:r>
        <w:rPr>
          <w:rFonts w:ascii="Times New Roman" w:hAnsi="Times New Roman"/>
          <w:b w:val="0"/>
          <w:i/>
          <w:color w:val="1B4F46"/>
          <w:sz w:val="24"/>
          <w:spacing w:val="0"/>
        </w:rPr>
        <w:t>Use leadership and evidence routines to monitor graduation, transition milestones, applications, financial aid, credentials, work-based learning, barriers, and postsecondary placement.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coordinated monitoring of graduation progress, applications, financial aid, credentials, work-based learning, employment, enlistment, and postsecondary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receive adult follow-up when evidence shows missed milestones, barriers, incomplete forms, weak transition plans, or loss of connection.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benefit when leaders coordinate teachers, counselors, advisors, families, employers, postsecondary partners, and community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experience continuous improvement in senior support routines because teams review evidence, test adjustments, and follow through.</w:t>
            </w:r>
          </w:p>
          <w:p>
            <w:pPr>
              <w:spacing w:before="100" w:after="0" w:line="259" w:lineRule="auto"/>
            </w:pPr>
            <w:r>
              <w:rPr>
                <w:rFonts w:ascii="Times New Roman" w:hAnsi="Times New Roman"/>
                <w:b/>
                <w:i w:val="0"/>
                <w:color w:val="1B4F46"/>
                <w:sz w:val="24"/>
                <w:spacing w:val="0"/>
              </w:rPr>
              <w:t xml:space="preserve">Resources: </w:t>
            </w:r>
            <w:hyperlink r:id="rId33">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5">
              <w:r>
                <w:rPr>
                  <w:rFonts w:ascii="Times New Roman" w:hAnsi="Times New Roman"/>
                  <w:sz w:val="24"/>
                  <w:color w:val="1F4E79"/>
                  <w:u w:val="single"/>
                </w:rPr>
                <w:t>Federal Student Aid: FAFSA Checklist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graduation status, credits, applications, FAFSA or financial aid, credentials, work-based learning, employment, enlistment, placement, and barrier evidence.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Assign adult owners for students who are missing milestones, disconnected from support, or blocked by forms, cost, transportation, timing, or eligibility.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Test improvements in senior conferences, milestone tracking, partner coordination, barrier solving, application support, and transition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disaggregated evidence to identify which student groups are not completing key milestones or accessing transition opportunities.</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leadership cadence for graduation and transition milestone review.</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senior milestone action tracker that includes adult owner, barrier, action, deadline, follow-up, and outcome.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short-cycle improvement process for senior conferences, financial aid/application support, credentials, work-based learning, and barrier solving.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partner coordination routine that clarifies communication with families, employers, postsecondary programs, military contacts, and community supports.</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5">
              <w:r>
                <w:rPr>
                  <w:rFonts w:ascii="Times New Roman" w:hAnsi="Times New Roman"/>
                  <w:sz w:val="24"/>
                  <w:color w:val="1F4E79"/>
                  <w:u w:val="single"/>
                </w:rPr>
                <w:t>Federal Student Aid: FAFSA Checklist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milestone review: teams examine credits, graduation status, applications, FAFSA/financial aid, credentials, internships, employment, enlistment, and placement.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Barrier-solving review: leaders identify barriers, assign adult owners, set deadlines, and confirm follow-up before opportunities close.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Partner coordination huddle: staff clarify who contacts employers, colleges, training programs, military representatives, families, and community partners.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Small test of change: the team tests a new senior conference script, FAFSA support session, credential follow-up, or work-based learning outreach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Transition outcome review: teams examine whether students completed next-step milestones and whether supports worked equitably across student groups.</w:t>
            </w:r>
          </w:p>
          <w:p>
            <w:pPr>
              <w:spacing w:before="100" w:after="0" w:line="259" w:lineRule="auto"/>
            </w:pPr>
            <w:r>
              <w:rPr>
                <w:rFonts w:ascii="Times New Roman" w:hAnsi="Times New Roman"/>
                <w:b/>
                <w:i w:val="0"/>
                <w:color w:val="1B4F46"/>
                <w:sz w:val="24"/>
                <w:spacing w:val="0"/>
              </w:rPr>
              <w:t xml:space="preserve">Resources: </w:t>
            </w:r>
            <w:hyperlink r:id="rId36">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37">
              <w:r>
                <w:rPr>
                  <w:rFonts w:ascii="Times New Roman" w:hAnsi="Times New Roman"/>
                  <w:sz w:val="24"/>
                  <w:color w:val="1F4E79"/>
                  <w:u w:val="single"/>
                </w:rPr>
                <w:t>CareerOneStop: Find Certifications</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Pennsylvania Career Ready Skills Toolkit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Graduation status, credits, applications, FAFSA/financial aid, credentials, internships, work-based learning, employment, enlistment, and postsecondary placement by subgroup.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conference notes, milestone trackers, action logs, barrier-solving records, partner communication notes, and family contact records.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feedback about clarity, support, confidence, barriers, and readiness for next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Evidence that missed milestones triggered adult follow-up and that follow-up was completed.</w:t>
            </w:r>
          </w:p>
          <w:p>
            <w:pPr>
              <w:spacing w:before="100" w:after="0" w:line="259" w:lineRule="auto"/>
            </w:pPr>
            <w:r>
              <w:rPr>
                <w:rFonts w:ascii="Times New Roman" w:hAnsi="Times New Roman"/>
                <w:b/>
                <w:i w:val="0"/>
                <w:color w:val="1B4F46"/>
                <w:sz w:val="24"/>
                <w:spacing w:val="0"/>
              </w:rPr>
              <w:t xml:space="preserve">Resources: </w:t>
            </w:r>
            <w:hyperlink r:id="rId13">
              <w:r>
                <w:rPr>
                  <w:rFonts w:ascii="Times New Roman" w:hAnsi="Times New Roman"/>
                  <w:sz w:val="24"/>
                  <w:color w:val="1F4E79"/>
                  <w:u w:val="single"/>
                </w:rPr>
                <w:t>WWC: Using Student Achievement Data to Support Instructional Decision Making</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OCR Civil Rights Data Collection</w:t>
              </w:r>
            </w:hyperlink>
            <w:r>
              <w:rPr>
                <w:rFonts w:ascii="Times New Roman" w:hAnsi="Times New Roman"/>
                <w:b w:val="0"/>
                <w:i w:val="0"/>
                <w:color w:val="0E2243"/>
                <w:sz w:val="24"/>
                <w:spacing w:val="0"/>
              </w:rPr>
              <w:t xml:space="preserve">; </w:t>
            </w:r>
            <w:hyperlink r:id="rId33">
              <w:r>
                <w:rPr>
                  <w:rFonts w:ascii="Times New Roman" w:hAnsi="Times New Roman"/>
                  <w:sz w:val="24"/>
                  <w:color w:val="1F4E79"/>
                  <w:u w:val="single"/>
                </w:rPr>
                <w:t>NACE: Career Readiness Competencies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leadership and evidence review calendar.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senior milestone and barrier-solving action tracker.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short-cycle improvement process for senior transition supports and partner coordination.</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IHI: Model for Improvement</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Learning Forward: Standards for Professional Learning</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11-12: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00" w:after="100" w:line="259" w:lineRule="auto"/>
      </w:pPr>
      <w:r>
        <w:rPr>
          <w:rFonts w:ascii="Times New Roman" w:hAnsi="Times New Roman"/>
          <w:b/>
          <w:i w:val="0"/>
          <w:color w:val="1B4F46"/>
          <w:sz w:val="28"/>
          <w:spacing w:val="0"/>
        </w:rPr>
        <w:t>District Follow-Through</w:t>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the district supports implementation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readiness language, examples, templates, and communication tools so buildings do not have to invent the framework.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building plans to confirm that grade-band expectations are clear, realistic, and aligned to the district model.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quarterly building updates to identify cross-building patterns, access gaps, implementation barriers,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professional learning, coaching, partnership support, and problem-solving help when buildings encounter barriers.</w:t>
            </w:r>
          </w:p>
        </w:tc>
      </w:tr>
    </w:tbl>
    <w:p>
      <w:pPr>
        <w:spacing w:before="20" w:after="140" w:line="259" w:lineRule="auto"/>
      </w:pPr>
      <w:r>
        <w:rPr>
          <w:rFonts w:ascii="Times New Roman" w:hAnsi="Times New Roman"/>
          <w:b w:val="0"/>
          <w:i w:val="0"/>
          <w:color w:val="0E2243"/>
          <w:sz w:val="24"/>
          <w:spacing w:val="0"/>
        </w:rPr>
      </w:r>
    </w:p>
    <w:sectPr w:rsidR="00FC693F" w:rsidRPr="0006063C" w:rsidSect="00034616">
      <w:pgSz w:w="12240" w:h="15840"/>
      <w:pgMar w:top="1037" w:right="1080" w:bottom="1037"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before="0" w:after="6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z w:val="24"/>
      <w:szCs w:val="24"/>
    </w:rPr>
  </w:style>
  <w:style w:type="paragraph" w:styleId="ListParagraph">
    <w:name w:val="List Paragraph"/>
    <w:basedOn w:val="Normal"/>
    <w:uiPriority w:val="34"/>
    <w:qFormat/>
    <w:rsid w:val="00FC693F"/>
    <w:pPr>
      <w:spacing w:line="259" w:lineRule="auto" w:before="0" w:after="60"/>
      <w:ind w:left="720"/>
      <w:contextualSpacing/>
    </w:pPr>
    <w:rPr>
      <w:rFonts w:ascii="Times New Roman" w:hAnsi="Times New Roman"/>
      <w:sz w:val="24"/>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59" w:lineRule="auto" w:before="0" w:after="60"/>
      <w:contextualSpacing/>
    </w:pPr>
    <w:rPr>
      <w:rFonts w:ascii="Times New Roman" w:hAnsi="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u w:val="single"/>
    </w:rPr>
  </w:style>
  <w:style w:type="character" w:styleId="BookTitle">
    <w:name w:val="Book Title"/>
    <w:basedOn w:val="DefaultParagraphFont"/>
    <w:uiPriority w:val="33"/>
    <w:qFormat/>
    <w:rsid w:val="00FC693F"/>
    <w:rPr>
      <w:b/>
      <w:bCs/>
      <w:smallCap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asel.org/fundamentals-of-sel/" TargetMode="External"/><Relationship Id="rId10" Type="http://schemas.openxmlformats.org/officeDocument/2006/relationships/hyperlink" Target="https://udlguidelines.cast.org/" TargetMode="External"/><Relationship Id="rId11" Type="http://schemas.openxmlformats.org/officeDocument/2006/relationships/hyperlink" Target="https://www.attendanceworks.org/resources/" TargetMode="External"/><Relationship Id="rId12" Type="http://schemas.openxmlformats.org/officeDocument/2006/relationships/hyperlink" Target="https://www.ihi.org/resources/how-to-improve" TargetMode="External"/><Relationship Id="rId13" Type="http://schemas.openxmlformats.org/officeDocument/2006/relationships/hyperlink" Target="https://ies.ed.gov/ncee/wwc/PracticeGuide/12" TargetMode="External"/><Relationship Id="rId14" Type="http://schemas.openxmlformats.org/officeDocument/2006/relationships/hyperlink" Target="https://standards.learningforward.org/" TargetMode="External"/><Relationship Id="rId15" Type="http://schemas.openxmlformats.org/officeDocument/2006/relationships/hyperlink" Target="https://www.pbis.org/" TargetMode="External"/><Relationship Id="rId16" Type="http://schemas.openxmlformats.org/officeDocument/2006/relationships/hyperlink" Target="https://www.pa.gov/agencies/education/resources/student/career-ready-pa/pennsylvania-career-ready-skills/pa-career-ready-skills-toolkit" TargetMode="External"/><Relationship Id="rId17" Type="http://schemas.openxmlformats.org/officeDocument/2006/relationships/hyperlink" Target="https://www.theteachertoolkit.com/index.php/tool/think-pair-share" TargetMode="External"/><Relationship Id="rId18" Type="http://schemas.openxmlformats.org/officeDocument/2006/relationships/hyperlink" Target="https://www.perts.net/student-belonging" TargetMode="External"/><Relationship Id="rId19" Type="http://schemas.openxmlformats.org/officeDocument/2006/relationships/hyperlink" Target="https://my.pblworks.org/projects" TargetMode="External"/><Relationship Id="rId20" Type="http://schemas.openxmlformats.org/officeDocument/2006/relationships/hyperlink" Target="https://learningpolicyinstitute.org/topic/equitable-access-and-opportunity" TargetMode="External"/><Relationship Id="rId21" Type="http://schemas.openxmlformats.org/officeDocument/2006/relationships/hyperlink" Target="https://my.pblworks.org/resources?f%5B0%5D=type%3A27" TargetMode="External"/><Relationship Id="rId22" Type="http://schemas.openxmlformats.org/officeDocument/2006/relationships/hyperlink" Target="https://learningpolicyinstitute.org/product/effective-teacher-professional-development-brief" TargetMode="External"/><Relationship Id="rId23" Type="http://schemas.openxmlformats.org/officeDocument/2006/relationships/hyperlink" Target="https://www.pblworks.org/get-started-educators" TargetMode="External"/><Relationship Id="rId24" Type="http://schemas.openxmlformats.org/officeDocument/2006/relationships/hyperlink" Target="https://education.ohio.gov/Topics/Career-Tech/Career-Connections/Career-Connections-Framework" TargetMode="External"/><Relationship Id="rId25" Type="http://schemas.openxmlformats.org/officeDocument/2006/relationships/hyperlink" Target="https://www.schoolcounselor.org/Standards-Positions/Standards/ASCA-Mindsets-Behaviors-for-Student-Success" TargetMode="External"/><Relationship Id="rId26" Type="http://schemas.openxmlformats.org/officeDocument/2006/relationships/hyperlink" Target="https://www.mynextmove.org/explore/ip" TargetMode="External"/><Relationship Id="rId27" Type="http://schemas.openxmlformats.org/officeDocument/2006/relationships/hyperlink" Target="https://www.careeronestop.org/Videos/CareerVideos/career-videos.aspx" TargetMode="External"/><Relationship Id="rId28" Type="http://schemas.openxmlformats.org/officeDocument/2006/relationships/hyperlink" Target="https://grow.google/applied-digital-skills/" TargetMode="External"/><Relationship Id="rId29" Type="http://schemas.openxmlformats.org/officeDocument/2006/relationships/hyperlink" Target="https://edtrust.org/rti/inequities-in-advanced-coursework/" TargetMode="External"/><Relationship Id="rId30" Type="http://schemas.openxmlformats.org/officeDocument/2006/relationships/hyperlink" Target="https://ies.ed.gov/sites/default/files/rel-central/document/2025/11/RELCETipGoalSetting.pdf" TargetMode="External"/><Relationship Id="rId31" Type="http://schemas.openxmlformats.org/officeDocument/2006/relationships/hyperlink" Target="https://www.fcps.edu/academics/academic-and-career-plans/high-school" TargetMode="External"/><Relationship Id="rId32" Type="http://schemas.openxmlformats.org/officeDocument/2006/relationships/hyperlink" Target="https://civilrightsdata.ed.gov/" TargetMode="External"/><Relationship Id="rId33" Type="http://schemas.openxmlformats.org/officeDocument/2006/relationships/hyperlink" Target="https://www.naceweb.org/career-readiness/competencies/career-readiness-defined" TargetMode="External"/><Relationship Id="rId34" Type="http://schemas.openxmlformats.org/officeDocument/2006/relationships/hyperlink" Target="https://www.ed.gov/higher-education/career-pathways" TargetMode="External"/><Relationship Id="rId35" Type="http://schemas.openxmlformats.org/officeDocument/2006/relationships/hyperlink" Target="https://studentaid.gov/articles/things-you-need-for-fafsa/" TargetMode="External"/><Relationship Id="rId36" Type="http://schemas.openxmlformats.org/officeDocument/2006/relationships/hyperlink" Target="https://www.apprenticeship.gov/career-seekers" TargetMode="External"/><Relationship Id="rId37" Type="http://schemas.openxmlformats.org/officeDocument/2006/relationships/hyperlink" Target="https://www.careeronestop.org/FindTraining/Types/certificatio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Building Implementation Guide Prototype - Domain 7 Grade-Band V1</dc:title>
  <dc:subject>Master Building Implementation Guide prototype with Domain 1 developed</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