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Access to Meaningful Learning</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Participate in rich literacy, math, inquiry, play, creativity, movement, technology, and classroom roles with needed support.</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Access projects, discussion, leadership roles, enrichment, technology, reading, problem solving, and support without unnecessary gatekeeping.</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Participate in advising, career exploration, advanced learning, arts, STEM, activities, supports, and transition opportunities.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Enter rigorous courses, CTE, pathway exploration, clubs, early college awareness, support services, and credit recovery when needed.</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Access advanced coursework, certifications, work-based learning, dual enrollment, financial aid support, applications, and transition planning.</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offering opportunities to ensuring students can actually access and complete them.</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relying on student self-advocacy to using adult routines that identify and remove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general equity statements to visible participation, support, and outcome evidence by grade band and student group.</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5: Access, Opportunity, and Equity</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5 examines whether important learning experiences, pathway opportunities, supports, and readiness experiences are reaching all students across schools and grade bands.</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identify and remove barriers so students can access meaningful learning, support services, pathway exploration, enrichment, advanced opportunities, technology, activities, work-based experiences, and transition supports. Buildings should monitor participation and outcomes by student group, grade band, and opportunity type, then adjust practices so access is not limited by scheduling, prerequisites, cost, transportation, adult assumptions, family awareness, language, disability, prior performance, or uneven support.</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Ensure young students have early access to rich learning, belonging, language development, support, family connection, and classroom participation.</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participate in literacy, math, inquiry, play, art, movement, technology, classroom jobs, discussion, and problem solving with the support they need.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materials, stories, examples, and classroom routines that reflect varied identities, languages, strengths, and family experiences.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early support for attendance, language, disability, behavior, emotional regulation, and participation before barriers become patterns.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are not excluded from rich experiences because they are still developing language, behavior, confidence, independence, or foundational skills.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CASEL: Fundamentals of SEL</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inclusive routines, accessible materials, visual supports, family communication, positive support, and multiple ways for students to participate.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who speaks, leads, receives help, uses technology, participates in projects, and is redirected or removed from learning time.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Respond early to attendance, behavior, communication, disability, language, and family-contact barriers with support rather than assumptions.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specialists, support staff, and families around student access to daily learning and classroom community.</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Learning-Focused: Designing for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access and participation check that looks at who participates in discussion, play, projects, classroom jobs, technology, and support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routine for adapting materials, directions, language, and response options so students can show learning in more than one way.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barrier response process for attendance, family communication, behavior, language, disability,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family communication process that explains opportunities, supports, and ways families can help students participate.</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Attendance Works: Teaching Attendance</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PBIS: Positive Behavioral Interventions and Supports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scan: teachers briefly note which students speak, lead, build, draw, read, use technology, or receive support during the week.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Multiple ways to respond: students may point, draw, build, speak, act, record, or write to show understanding.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materials review: teachers check whether books, images, examples, and activities reflect students' identities, languages, families, and communities.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Early support meeting: adults identify a participation or attendance barrier, name a support, assign follow-up, and communicate with the family.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Shared classroom role routine: every student rotates through meaningful classroom roles and receives support to participate successfully.</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Teacher Toolkit: Think-Pair-Share</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NAEYC: Using Blocks to Develop 21st Century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scans, classroom role records, student work samples, support notes, family contact notes, and teacher observations.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tardiness, discipline, nurse visits, support referrals, and intervention follow-up reviewed by student 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accessible materials, visual supports, multiple response options, and inclusive classroom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and family feedback about whether students feel included, supported, and able to participate.</w:t>
            </w:r>
          </w:p>
          <w:p>
            <w:pPr>
              <w:spacing w:before="100" w:after="0" w:line="259" w:lineRule="auto"/>
            </w:pPr>
            <w:r>
              <w:rPr>
                <w:rFonts w:ascii="Times New Roman" w:hAnsi="Times New Roman"/>
                <w:b/>
                <w:i w:val="0"/>
                <w:color w:val="1B4F46"/>
                <w:sz w:val="24"/>
                <w:spacing w:val="0"/>
              </w:rPr>
              <w:t xml:space="preserve">Resources: </w:t>
            </w:r>
            <w:hyperlink r:id="rId18">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access and participation routine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list of common supports for language, disability, behavior, attendance, family communication, and classroom participation.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reviewing participation and support evidence by student group.</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Learning Policy Institute: Equitable Access and Opportunity</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Ensure students have access to enrichment, project roles, technology, leadership, support, and meaningful academic participation.</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participate in projects, inquiry, discussion, technology, enrichment, arts, STEM, leadership, and support opportunities across classrooms.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meaningful roles in group work, presentations, problem solving, research, design, and classroom leadership.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support to access challenging work instead of being kept from opportunities because of prior performance, behavior, language, disability, or confidence.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learn how to ask for support, use available resources, and understand that opportunity is not reserved for a small group of students.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Learning Policy Institute: Equitable Access and Opportunity</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classroom and grade-level patterns to see who gets leadership, enrichment, project roles, technology access, support, and challenging tasks.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flexible grouping, scaffolds, accessible materials, clear criteria, and encouragement so students can enter meaningful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Watch for gatekeeping through informal recommendations, behavior assumptions, prerequisites, family awareness, cost, transportation, or inconsistent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Partner with families so students understand available opportunities and support options.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opportunity map showing enrichment, projects, leadership, STEM, arts, technology, support, and family communication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reviewing who receives meaningful roles in projects, discussion, technology, presentation, and leadership.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support-and-scaffold routine that helps students access challenging work without lowering expectations.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family communication routine that makes enrichment, supports, and participation expectations clear.</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Learning Policy Institute: Equitable Access and Opportunity</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role audit: teams check whether students rotate through research, design, technology, presentation, leadership, and reflection roles.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Enrichment access list: staff identify which students have not accessed clubs, enrichment, STEM, arts, leadership, or academic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Flexible grouping routine: students work in different groupings over time so opportunity is not tied to fixed ability labels.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Scaffolded challenge task: teachers provide supports, models, vocabulary, visuals, and feedback so more students can attempt rigorous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opportunity notice: families receive clear information about enrichment, supports, clubs, events, and how students can participate.</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Code.org: Elementary Computer Science Curriculum</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in enrichment, clubs, projects, STEM, arts, technology, leadership, and support opportunities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role records, student work, rubrics, presentations, peer feedback, and teacher observation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discipline, grades, intervention access, family contact, and support follow-up patterns.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voice data showing whether students believe opportunities are open, fair, and supported.</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Learning Policy Institute: Equitable Access and Opportunity</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opportunity and participation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rotating and monitoring meaningful project, technology, leadership, and presentation roles.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grade-level barrier list with first actions to address access gaps.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PBLWorks: Rubrics and Teacher Resources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Ensure students have equitable access to advising, career exploration, advanced learning, activities, support, technology, and transition experiences.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access career exploration, advising, advanced learning, STEM, arts, leadership, service, activities, technology, and support services.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learn about opportunities early enough to prepare, ask questions, receive support, and make informed choices.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are not excluded from opportunities because of schedule conflicts, cost, transportation, prerequisites, behavior history, adult assumptions, or lack of family awareness.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transition support that helps them understand high school courses, pathways, activities, and supports.</w:t>
            </w:r>
          </w:p>
          <w:p>
            <w:pPr>
              <w:spacing w:before="100" w:after="0" w:line="259" w:lineRule="auto"/>
            </w:pPr>
            <w:r>
              <w:rPr>
                <w:rFonts w:ascii="Times New Roman" w:hAnsi="Times New Roman"/>
                <w:b/>
                <w:i w:val="0"/>
                <w:color w:val="1B4F46"/>
                <w:sz w:val="24"/>
                <w:spacing w:val="0"/>
              </w:rPr>
              <w:t xml:space="preserve">Resources: </w:t>
            </w:r>
            <w:hyperlink r:id="rId25">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Map access to advising, career exploration, activities, advanced courses, support services, technology, and transition experiences.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who is recommended, invited, encouraged, scheduled, transported, funded, supported, and included in opportunities.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student voice and family communication to identify barriers students may not report directly.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counselors, activity sponsors, families, and support staff to remove barriers before students disengage.</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Learning Policy Institute: Equitable Access and Opportunity</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opportunity access map covering advising, career exploration, advanced learning, activities, service, STEM, arts, and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opportunity conference or advisory routine that helps students identify interests, opportunities, barriers, and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participation review process that examines access by student group, school, grade level, and program.</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transition routine that prepares all students for high school course choices, pathway options, supports, and activities.</w:t>
            </w:r>
          </w:p>
          <w:p>
            <w:pPr>
              <w:spacing w:before="100" w:after="0" w:line="259" w:lineRule="auto"/>
            </w:pPr>
            <w:r>
              <w:rPr>
                <w:rFonts w:ascii="Times New Roman" w:hAnsi="Times New Roman"/>
                <w:b/>
                <w:i w:val="0"/>
                <w:color w:val="1B4F46"/>
                <w:sz w:val="24"/>
                <w:spacing w:val="0"/>
              </w:rPr>
              <w:t xml:space="preserve">Resources: </w:t>
            </w:r>
            <w:hyperlink r:id="rId25">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O*NET Career Exploration Tools</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Opportunity inventory: students identify activities, supports, clubs, career exploration, advanced courses, and leadership opportunities they know about and want to access.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Barrier removal checklist: adults identify cost, transportation, schedule, prerequisite, awareness, language, disability, and family-communication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exploration access review: teams check which students completed inventories, career lessons, guest speaker activities, field experiences, or pathway reflections.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Activity connection campaign: staff personally invite and support students who are not connected to clubs, teams, service, leadership, or interest groups.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High school transition conference: students and families review courses, pathway options, supports, activities, and questions before scheduling decisions.</w:t>
            </w:r>
          </w:p>
          <w:p>
            <w:pPr>
              <w:spacing w:before="100" w:after="0" w:line="259" w:lineRule="auto"/>
            </w:pPr>
            <w:r>
              <w:rPr>
                <w:rFonts w:ascii="Times New Roman" w:hAnsi="Times New Roman"/>
                <w:b/>
                <w:i w:val="0"/>
                <w:color w:val="1B4F46"/>
                <w:sz w:val="24"/>
                <w:spacing w:val="0"/>
              </w:rPr>
              <w:t xml:space="preserve">Resources: </w:t>
            </w:r>
            <w:hyperlink r:id="rId29">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Code.org: Middle School Computer Science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in advising, career exploration, activities, advanced learning, STEM, arts, service, leadership, support services, and technology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survey data about awareness, barriers, belonging, support, transportation, cost, and adult encouragement.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Recommendation, scheduling, course request, activity roster, support referral, and transition meeting records.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that barriers were identified, assigned to an adult owner, addressed, and reviewed.</w:t>
            </w:r>
          </w:p>
          <w:p>
            <w:pPr>
              <w:spacing w:before="100" w:after="0" w:line="259" w:lineRule="auto"/>
            </w:pPr>
            <w:r>
              <w:rPr>
                <w:rFonts w:ascii="Times New Roman" w:hAnsi="Times New Roman"/>
                <w:b/>
                <w:i w:val="0"/>
                <w:color w:val="1B4F46"/>
                <w:sz w:val="24"/>
                <w:spacing w:val="0"/>
              </w:rPr>
              <w:t xml:space="preserve">Resources: </w:t>
            </w:r>
            <w:hyperlink r:id="rId33">
              <w:r>
                <w:rPr>
                  <w:rFonts w:ascii="Times New Roman" w:hAnsi="Times New Roman"/>
                  <w:sz w:val="24"/>
                  <w:color w:val="1F4E79"/>
                  <w:u w:val="single"/>
                </w:rPr>
                <w:t>OCR Civil Rights Data Collection</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opportunity access and barrier-removal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advisory or opportunity conference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transition access process for high school courses, pathways, activities, and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data review routine for participation and barrier evidence.</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Learning Policy Institute: Equitable Access and Opportunity</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Ohio Career Connections Framework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Ensure students can enter and succeed in rigorous courses, pathway options, support services, activities, credit recovery, and early postsecondary planning.</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access rigorous coursework, advanced options, CTE, pathway exploration, clubs, activities, academic supports, credit recovery, and transition services.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understand eligibility criteria, course options, pathways, supports, and how to request help before decisions close.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encouragement, preparation, and support to attempt challenging work rather than being screened out prematurely.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have access to activities and supports that strengthen belonging, engagement, academic progress, and future planning.</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course enrollment, recommendations, prerequisites, grades, credits, activity participation, support use, discipline, and attendance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Identify barriers created by scheduling, prerequisites, placement practices, fees, transportation, information gaps, adult assumptions, or uneven advising.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transparent criteria, proactive outreach, flexible supports, and family communication to open access to courses and pathways.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whether students are succeeding after access is expanded and provide support before students withdraw, fail, or disengage.</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Learning Policy Institute: Equitable Access and Opportunity</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access review process for courses, pathways, CTE, supports, credit recovery, and activities.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proactive advising routine that helps students understand options, requirements, supports, and next actions.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barrier-removal process for scheduling, prerequisites, cost, transportation, family awareness,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success-support routine for students entering rigorous courses, pathways, activities, or recovery options.</w:t>
            </w:r>
          </w:p>
          <w:p>
            <w:pPr>
              <w:spacing w:before="100" w:after="0" w:line="259" w:lineRule="auto"/>
            </w:pPr>
            <w:r>
              <w:rPr>
                <w:rFonts w:ascii="Times New Roman" w:hAnsi="Times New Roman"/>
                <w:b/>
                <w:i w:val="0"/>
                <w:color w:val="1B4F46"/>
                <w:sz w:val="24"/>
                <w:spacing w:val="0"/>
              </w:rPr>
              <w:t xml:space="preserve">Resources: </w:t>
            </w:r>
            <w:hyperlink r:id="rId33">
              <w:r>
                <w:rPr>
                  <w:rFonts w:ascii="Times New Roman" w:hAnsi="Times New Roman"/>
                  <w:sz w:val="24"/>
                  <w:color w:val="1F4E79"/>
                  <w:u w:val="single"/>
                </w:rPr>
                <w:t>OCR Civil Rights Data Collection</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O*NET Career Exploration Tools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Federal Student Aid: Prepare for College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Course access dashboard: teams review enrollment, course requests, recommendations, grades, and completion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Prerequisite review: staff identify whether prerequisites are necessary, transparent, consistently applied, and paired with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Pathway entry conference: students review interests, graduation requirements, pathway options, supports, activities, and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Advanced coursework support plan: students entering rigorous courses receive tutoring, study routines, teacher check-ins, and progress monitoring.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Activity and belonging review: teams identify students not connected to activities, leadership, service, or pathway groups and provide outreach.</w:t>
            </w:r>
          </w:p>
          <w:p>
            <w:pPr>
              <w:spacing w:before="100" w:after="0" w:line="259" w:lineRule="auto"/>
            </w:pPr>
            <w:r>
              <w:rPr>
                <w:rFonts w:ascii="Times New Roman" w:hAnsi="Times New Roman"/>
                <w:b/>
                <w:i w:val="0"/>
                <w:color w:val="1B4F46"/>
                <w:sz w:val="24"/>
                <w:spacing w:val="0"/>
              </w:rPr>
              <w:t xml:space="preserve">Resources: </w:t>
            </w:r>
            <w:hyperlink r:id="rId31">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Code.org: High School Computer Science</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FCPS: High School Academic and Career Plan</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Enrollment, recommendations, course requests, grades, credits, completion, support use, activity participation, attendance, and discipline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and family feedback about awareness, barriers, encouragement, support, and access to opportunities.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Records showing barriers addressed through scheduling changes, support plans, transportation help, fee support, or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that students entering rigorous or pathway options receive support and remain engaged.</w:t>
            </w:r>
          </w:p>
          <w:p>
            <w:pPr>
              <w:spacing w:before="100" w:after="0" w:line="259" w:lineRule="auto"/>
            </w:pPr>
            <w:r>
              <w:rPr>
                <w:rFonts w:ascii="Times New Roman" w:hAnsi="Times New Roman"/>
                <w:b/>
                <w:i w:val="0"/>
                <w:color w:val="1B4F46"/>
                <w:sz w:val="24"/>
                <w:spacing w:val="0"/>
              </w:rPr>
              <w:t xml:space="preserve">Resources: </w:t>
            </w:r>
            <w:hyperlink r:id="rId33">
              <w:r>
                <w:rPr>
                  <w:rFonts w:ascii="Times New Roman" w:hAnsi="Times New Roman"/>
                  <w:sz w:val="24"/>
                  <w:color w:val="1F4E79"/>
                  <w:u w:val="single"/>
                </w:rPr>
                <w:t>OCR Civil Rights Data Collection</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course, pathway, support, and activity access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transparent criteria and support process for rigorous courses and pathway entry.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barrier-removal and student support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data review routine for participation, success, and persistence in opportunities.</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Learning Policy Institute: Equitable Access and Opportunity</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Education Trust: Inequities in Advanced Coursework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Ensure students can complete graduation and transition milestones with access to advanced coursework, credentials, work-based learning, applications, financial aid, and placement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access advanced coursework, dual enrollment, CTE, certifications, work-based learning, internships, apprenticeships, service, leadership, and transition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timely help with applications, FAFSA or financial aid, employment, enlistment, credentials, transportation, documents, deadlines, and decision-making.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are not blocked from next-step opportunities by cost, eligibility confusion, paperwork, schedule conflicts, transportation, technology access, or lack of adult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have support to complete a meaningful postsecondary plan connected to enrollment, enlistment, employment, civic participation, and adult life.</w:t>
            </w:r>
          </w:p>
          <w:p>
            <w:pPr>
              <w:spacing w:before="100" w:after="0" w:line="259" w:lineRule="auto"/>
            </w:pPr>
            <w:r>
              <w:rPr>
                <w:rFonts w:ascii="Times New Roman" w:hAnsi="Times New Roman"/>
                <w:b/>
                <w:i w:val="0"/>
                <w:color w:val="1B4F46"/>
                <w:sz w:val="24"/>
                <w:spacing w:val="0"/>
              </w:rPr>
              <w:t xml:space="preserve">Resources: </w:t>
            </w:r>
            <w:hyperlink r:id="rId37">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9">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Track access and completion of advanced coursework, credentials, applications, financial aid, work-based learning, graduation requirements, and postsecondary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Identify students missing key milestones and assign adult follow-up before deadlines pass.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counselors, teachers, families, employers, postsecondary partners, community organizations, and support staff around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whether opportunities and outcomes differ by subgroup and adjust outreach, supports, and partnerships accordingly.</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Learning Policy Institute: Equitable Access and Opportunity</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40">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transition milestone tracker for graduation, applications, financial aid, credentials, work-based learning, employment, enlistment, and postsecondary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barrier-solving routine for money, transportation, paperwork, technology, eligibility, schedule conflicts, and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learning and credential access process that monitors who participates and who is left out.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support conference routine that ensures every student has a realistic next-step plan and adult follow-up.</w:t>
            </w:r>
          </w:p>
          <w:p>
            <w:pPr>
              <w:spacing w:before="100" w:after="0" w:line="259" w:lineRule="auto"/>
            </w:pPr>
            <w:r>
              <w:rPr>
                <w:rFonts w:ascii="Times New Roman" w:hAnsi="Times New Roman"/>
                <w:b/>
                <w:i w:val="0"/>
                <w:color w:val="1B4F46"/>
                <w:sz w:val="24"/>
                <w:spacing w:val="0"/>
              </w:rPr>
              <w:t xml:space="preserve">Resources: </w:t>
            </w:r>
            <w:hyperlink r:id="rId37">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41">
              <w:r>
                <w:rPr>
                  <w:rFonts w:ascii="Times New Roman" w:hAnsi="Times New Roman"/>
                  <w:sz w:val="24"/>
                  <w:color w:val="1F4E79"/>
                  <w:u w:val="single"/>
                </w:rPr>
                <w:t>CareerOneStop: Find Certifications</w:t>
              </w:r>
            </w:hyperlink>
            <w:r>
              <w:rPr>
                <w:rFonts w:ascii="Times New Roman" w:hAnsi="Times New Roman"/>
                <w:b w:val="0"/>
                <w:i w:val="0"/>
                <w:color w:val="0E2243"/>
                <w:sz w:val="24"/>
                <w:spacing w:val="0"/>
              </w:rPr>
              <w:t xml:space="preserve">; </w:t>
            </w:r>
            <w:hyperlink r:id="rId40">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milestone review: teams monitor graduation status, applications, financial aid, credential progress, work-based learning, and next-step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Barrier-solving log: staff document the barrier, support action, adult owner, deadline, follow-up date, and outcome.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Work-based learning access review: teams examine which students have internships, job shadows, apprenticeships, industry visits, certifications, or employer connections.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Financial aid and application support session: students receive direct help completing forms, requesting documents, and meeting deadlines.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Postsecondary plan conference: each student reviews enrollment, enlistment, employment, civic, service, or training plans with an adult.</w:t>
            </w:r>
          </w:p>
          <w:p>
            <w:pPr>
              <w:spacing w:before="100" w:after="0" w:line="259" w:lineRule="auto"/>
            </w:pPr>
            <w:r>
              <w:rPr>
                <w:rFonts w:ascii="Times New Roman" w:hAnsi="Times New Roman"/>
                <w:b/>
                <w:i w:val="0"/>
                <w:color w:val="1B4F46"/>
                <w:sz w:val="24"/>
                <w:spacing w:val="0"/>
              </w:rPr>
              <w:t xml:space="preserve">Resources: </w:t>
            </w:r>
            <w:hyperlink r:id="rId31">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41">
              <w:r>
                <w:rPr>
                  <w:rFonts w:ascii="Times New Roman" w:hAnsi="Times New Roman"/>
                  <w:sz w:val="24"/>
                  <w:color w:val="1F4E79"/>
                  <w:u w:val="single"/>
                </w:rPr>
                <w:t>CareerOneStop: Find Certifications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Federal Student Aid: Prepare for College</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Apprenticeship.gov: Career Seekers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Graduation status, credits, advanced coursework, dual enrollment, credentials, internships, work-based learning, applications, FAFSA/financial aid, employment, enlistment, and placement data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support logs showing barrier identification, adult follow-up, family communication, and milestone completion.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records for transition events, advising conferences, career fairs, employer connections, and postsecondary planning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Outcome data showing whether students complete next-step milestones and transition with a plan.</w:t>
            </w:r>
          </w:p>
          <w:p>
            <w:pPr>
              <w:spacing w:before="100" w:after="0" w:line="259" w:lineRule="auto"/>
            </w:pPr>
            <w:r>
              <w:rPr>
                <w:rFonts w:ascii="Times New Roman" w:hAnsi="Times New Roman"/>
                <w:b/>
                <w:i w:val="0"/>
                <w:color w:val="1B4F46"/>
                <w:sz w:val="24"/>
                <w:spacing w:val="0"/>
              </w:rPr>
              <w:t xml:space="preserve">Resources: </w:t>
            </w:r>
            <w:hyperlink r:id="rId33">
              <w:r>
                <w:rPr>
                  <w:rFonts w:ascii="Times New Roman" w:hAnsi="Times New Roman"/>
                  <w:sz w:val="24"/>
                  <w:color w:val="1F4E79"/>
                  <w:u w:val="single"/>
                </w:rPr>
                <w:t>OCR Civil Rights Data Collection</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39">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transition milestone and opportunity access tracker.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barrier-solving and adult follow-up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learning, credential, application, and financial aid support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data review process for completion and placement outcomes by student group.</w:t>
            </w:r>
          </w:p>
          <w:p>
            <w:pPr>
              <w:spacing w:before="100" w:after="0" w:line="259" w:lineRule="auto"/>
            </w:pPr>
            <w:r>
              <w:rPr>
                <w:rFonts w:ascii="Times New Roman" w:hAnsi="Times New Roman"/>
                <w:b/>
                <w:i w:val="0"/>
                <w:color w:val="1B4F46"/>
                <w:sz w:val="24"/>
                <w:spacing w:val="0"/>
              </w:rPr>
              <w:t xml:space="preserve">Resources: </w:t>
            </w:r>
            <w:hyperlink r:id="rId37">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Learning Policy Institute: Equitable Access and Opportunity</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udlguidelines.cast.org/" TargetMode="External"/><Relationship Id="rId10" Type="http://schemas.openxmlformats.org/officeDocument/2006/relationships/hyperlink" Target="https://static.battelleforkids.org/documents/p21/P21_ELF_Framework_Final_20pgs.pdf" TargetMode="External"/><Relationship Id="rId11" Type="http://schemas.openxmlformats.org/officeDocument/2006/relationships/hyperlink" Target="https://casel.org/fundamentals-of-sel/" TargetMode="External"/><Relationship Id="rId12" Type="http://schemas.openxmlformats.org/officeDocument/2006/relationships/hyperlink" Target="https://www.pa.gov/agencies/education/resources/student/career-ready-pa/pennsylvania-career-ready-skills/pa-career-ready-skills-toolkit" TargetMode="External"/><Relationship Id="rId13" Type="http://schemas.openxmlformats.org/officeDocument/2006/relationships/hyperlink" Target="https://learningfocused.com/blogs/effective-teaching-strategies/designing-for-belonging-classroom-strategies-that-build-readiness-to-learn" TargetMode="External"/><Relationship Id="rId14" Type="http://schemas.openxmlformats.org/officeDocument/2006/relationships/hyperlink" Target="https://www.attendanceworks.org/resources/teaching-attendance-2-0/" TargetMode="External"/><Relationship Id="rId15" Type="http://schemas.openxmlformats.org/officeDocument/2006/relationships/hyperlink" Target="https://www.pbis.org/" TargetMode="External"/><Relationship Id="rId16" Type="http://schemas.openxmlformats.org/officeDocument/2006/relationships/hyperlink" Target="https://www.theteachertoolkit.com/index.php/tool/think-pair-share" TargetMode="External"/><Relationship Id="rId17" Type="http://schemas.openxmlformats.org/officeDocument/2006/relationships/hyperlink" Target="https://www.naeyc.org/resources/pubs/yc/mar2015/using-blocks" TargetMode="External"/><Relationship Id="rId18" Type="http://schemas.openxmlformats.org/officeDocument/2006/relationships/hyperlink" Target="https://www.attendanceworks.org/resources/" TargetMode="External"/><Relationship Id="rId19" Type="http://schemas.openxmlformats.org/officeDocument/2006/relationships/hyperlink" Target="https://www.perts.net/student-belonging" TargetMode="External"/><Relationship Id="rId20" Type="http://schemas.openxmlformats.org/officeDocument/2006/relationships/hyperlink" Target="https://learningpolicyinstitute.org/topic/equitable-access-and-opportunity" TargetMode="External"/><Relationship Id="rId21" Type="http://schemas.openxmlformats.org/officeDocument/2006/relationships/hyperlink" Target="https://my.pblworks.org/projects" TargetMode="External"/><Relationship Id="rId22" Type="http://schemas.openxmlformats.org/officeDocument/2006/relationships/hyperlink" Target="https://my.pblworks.org/resources?f%5B0%5D=type%3A27" TargetMode="External"/><Relationship Id="rId23" Type="http://schemas.openxmlformats.org/officeDocument/2006/relationships/hyperlink" Target="https://www.commonsense.org/education/digital-literacy" TargetMode="External"/><Relationship Id="rId24" Type="http://schemas.openxmlformats.org/officeDocument/2006/relationships/hyperlink" Target="https://code.org/en-US/curriculum/elementary-school" TargetMode="External"/><Relationship Id="rId25" Type="http://schemas.openxmlformats.org/officeDocument/2006/relationships/hyperlink" Target="https://education.ohio.gov/Topics/Career-Tech/Career-Connections/Career-Connections-Framework" TargetMode="External"/><Relationship Id="rId26" Type="http://schemas.openxmlformats.org/officeDocument/2006/relationships/hyperlink" Target="https://www.schoolcounselor.org/Standards-Positions/Standards/ASCA-Mindsets-Behaviors-for-Student-Success" TargetMode="External"/><Relationship Id="rId27" Type="http://schemas.openxmlformats.org/officeDocument/2006/relationships/hyperlink" Target="https://edtrust.org/rti/inequities-in-advanced-coursework/" TargetMode="External"/><Relationship Id="rId28" Type="http://schemas.openxmlformats.org/officeDocument/2006/relationships/hyperlink" Target="https://www.onetcenter.org/tools.html" TargetMode="External"/><Relationship Id="rId29" Type="http://schemas.openxmlformats.org/officeDocument/2006/relationships/hyperlink" Target="https://www.mynextmove.org/explore/ip" TargetMode="External"/><Relationship Id="rId30" Type="http://schemas.openxmlformats.org/officeDocument/2006/relationships/hyperlink" Target="https://www.careeronestop.org/Videos/CareerVideos/career-videos.aspx" TargetMode="External"/><Relationship Id="rId31" Type="http://schemas.openxmlformats.org/officeDocument/2006/relationships/hyperlink" Target="https://grow.google/applied-digital-skills/" TargetMode="External"/><Relationship Id="rId32" Type="http://schemas.openxmlformats.org/officeDocument/2006/relationships/hyperlink" Target="https://code.org/pl/curriculum/middle-school" TargetMode="External"/><Relationship Id="rId33" Type="http://schemas.openxmlformats.org/officeDocument/2006/relationships/hyperlink" Target="https://civilrightsdata.ed.gov/" TargetMode="External"/><Relationship Id="rId34" Type="http://schemas.openxmlformats.org/officeDocument/2006/relationships/hyperlink" Target="https://studentaid.gov/resources/prepare-for-college" TargetMode="External"/><Relationship Id="rId35" Type="http://schemas.openxmlformats.org/officeDocument/2006/relationships/hyperlink" Target="https://code.org/en-US/curriculum/high-school" TargetMode="External"/><Relationship Id="rId36" Type="http://schemas.openxmlformats.org/officeDocument/2006/relationships/hyperlink" Target="https://www.fcps.edu/academics/academic-and-career-plans/high-school" TargetMode="External"/><Relationship Id="rId37" Type="http://schemas.openxmlformats.org/officeDocument/2006/relationships/hyperlink" Target="https://www.ed.gov/higher-education/career-pathways" TargetMode="External"/><Relationship Id="rId38" Type="http://schemas.openxmlformats.org/officeDocument/2006/relationships/hyperlink" Target="https://www.apprenticeship.gov/career-seekers" TargetMode="External"/><Relationship Id="rId39" Type="http://schemas.openxmlformats.org/officeDocument/2006/relationships/hyperlink" Target="https://www.naceweb.org/career-readiness/competencies/career-readiness-defined" TargetMode="External"/><Relationship Id="rId40" Type="http://schemas.openxmlformats.org/officeDocument/2006/relationships/hyperlink" Target="https://studentaid.gov/articles/things-you-need-for-fafsa/" TargetMode="External"/><Relationship Id="rId41" Type="http://schemas.openxmlformats.org/officeDocument/2006/relationships/hyperlink" Target="https://www.careeronestop.org/FindTraining/Types/certifica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5 Grade-Band V1</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