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10080"/>
        <w:tblLook w:firstColumn="1" w:firstRow="1" w:lastColumn="0" w:lastRow="0" w:noHBand="0" w:noVBand="1" w:val="04A0"/>
        <w:tblLayout w:type="fixed"/>
      </w:tblPr>
      <w:tblGrid>
        <w:gridCol w:w="10080"/>
      </w:tblGrid>
      <w:tr>
        <w:tc>
          <w:tcPr>
            <w:tcW w:type="dxa" w:w="10080"/>
            <w:shd w:fill="1B4F46"/>
            <w:tcBorders>
              <w:top w:val="single" w:sz="8" w:space="0" w:color="1B4F46"/>
              <w:left w:val="single" w:sz="8" w:space="0" w:color="1B4F46"/>
              <w:bottom w:val="single" w:sz="8" w:space="0" w:color="1B4F46"/>
              <w:right w:val="single" w:sz="8" w:space="0" w:color="1B4F46"/>
            </w:tcBorders>
            <w:tcMar>
              <w:top w:w="250" w:type="dxa"/>
              <w:start w:w="220" w:type="dxa"/>
              <w:bottom w:w="250" w:type="dxa"/>
              <w:end w:w="220" w:type="dxa"/>
            </w:tcMar>
          </w:tcPr>
          <w:p>
            <w:pPr>
              <w:jc w:val="center"/>
            </w:pPr>
            <w:r>
              <w:rPr>
                <w:rFonts w:ascii="Times New Roman" w:hAnsi="Times New Roman"/>
                <w:b/>
                <w:i w:val="0"/>
                <w:color w:val="D8B864"/>
                <w:sz w:val="36"/>
                <w:spacing w:val="0"/>
              </w:rPr>
              <w:t>Preparing Students for Life After High School</w:t>
            </w:r>
          </w:p>
          <w:p>
            <w:pPr>
              <w:jc w:val="center"/>
            </w:pPr>
            <w:r>
              <w:rPr>
                <w:rFonts w:ascii="Times New Roman" w:hAnsi="Times New Roman"/>
                <w:b/>
                <w:i w:val="0"/>
                <w:color w:val="FFFFFF"/>
                <w:sz w:val="28"/>
                <w:spacing w:val="0"/>
              </w:rPr>
              <w:t>Building Implementation Guide</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to Use This Guide and Why This Work Matters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Preparing students for life after high school should be central to the mission of K-12 education. Graduation is not the finish line by itself.</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This guide describes what students should experience across K-12 in order to leave high school prepared for enrollment, enlistment, employment, civic participation, and adult life.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Building teams should focus on the grade bands served in their specific building and use the implementation examples as starting points.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the public resource links inside each component row when the building team needs examples, models, or implementation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Complete the planning response table to identify local decisions, first actions, evidence, and district support needs.</w:t>
            </w:r>
          </w:p>
        </w:tc>
      </w:tr>
    </w:tbl>
    <w:p>
      <w:pPr>
        <w:spacing w:before="20" w:after="140" w:line="259" w:lineRule="auto"/>
      </w:pPr>
      <w:r>
        <w:rPr>
          <w:rFonts w:ascii="Times New Roman" w:hAnsi="Times New Roman"/>
          <w:b w:val="0"/>
          <w:i w:val="0"/>
          <w:color w:val="0E2243"/>
          <w:sz w:val="24"/>
          <w:spacing w:val="0"/>
        </w:rPr>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Enhancing Content, Not Adding Tasks</w:t>
            </w:r>
          </w:p>
          <w:p>
            <w:pPr>
              <w:spacing w:before="0" w:after="60" w:line="259" w:lineRule="auto"/>
            </w:pPr>
            <w:r>
              <w:rPr>
                <w:rFonts w:ascii="Times New Roman" w:hAnsi="Times New Roman"/>
                <w:b w:val="0"/>
                <w:i w:val="0"/>
                <w:color w:val="0E2243"/>
                <w:sz w:val="24"/>
                <w:spacing w:val="0"/>
              </w:rPr>
              <w:t>The strategies in this guide are designed to strengthen existing curriculum and instruction, not add a separate layer of work. Schools remain responsible for teaching required content, meeting state standards, preparing students for required assessments, and working within accountability expectations. This guide helps building teams embed future-ready skills, authentic application, student reflection, engagement, and readiness experiences into the instructional work already taking place. The goal is to make required learning more meaningful, connected, engaging, and useful for students without creating disconnected tasks or standalone initiatives.</w:t>
            </w:r>
          </w:p>
        </w:tc>
      </w:tr>
    </w:tbl>
    <w:p>
      <w:pPr>
        <w:spacing w:before="20" w:after="140" w:line="259" w:lineRule="auto"/>
      </w:pPr>
      <w:r>
        <w:rPr>
          <w:rFonts w:ascii="Times New Roman" w:hAnsi="Times New Roman"/>
          <w:b w:val="0"/>
          <w:i w:val="0"/>
          <w:color w:val="0E2243"/>
          <w:sz w:val="24"/>
          <w:spacing w:val="0"/>
        </w:rPr>
      </w:r>
    </w:p>
    <w:p>
      <w:pPr>
        <w:spacing w:before="140" w:after="80" w:line="259" w:lineRule="auto"/>
      </w:pPr>
      <w:r>
        <w:rPr>
          <w:rFonts w:ascii="Times New Roman" w:hAnsi="Times New Roman"/>
          <w:b/>
          <w:i w:val="0"/>
          <w:color w:val="1B4F46"/>
          <w:sz w:val="28"/>
          <w:spacing w:val="0"/>
        </w:rPr>
        <w:t>Example K-12 Skill Progression</w:t>
      </w:r>
    </w:p>
    <w:p>
      <w:pPr>
        <w:spacing w:before="0" w:after="120" w:line="259" w:lineRule="auto"/>
      </w:pPr>
      <w:r>
        <w:rPr>
          <w:rFonts w:ascii="Times New Roman" w:hAnsi="Times New Roman"/>
          <w:b w:val="0"/>
          <w:i w:val="0"/>
          <w:color w:val="0E2243"/>
          <w:sz w:val="24"/>
          <w:spacing w:val="0"/>
        </w:rPr>
        <w:t>The example below shows how one readiness skill can develop from kindergarten to postsecondary transition. It is included to help buildings see the progression across grade levels before applying this domain's guidance.</w:t>
      </w:r>
    </w:p>
    <w:tbl>
      <w:tblPr>
        <w:tblStyle w:val="TableGrid"/>
        <w:tblW w:type="dxa" w:w="10080"/>
        <w:tblLook w:firstColumn="1" w:firstRow="1" w:lastColumn="0" w:lastRow="0" w:noHBand="0" w:noVBand="1" w:val="04A0"/>
        <w:tblLayout w:type="fixed"/>
      </w:tblPr>
      <w:tblGrid>
        <w:gridCol w:w="2200"/>
        <w:gridCol w:w="1576"/>
        <w:gridCol w:w="1576"/>
        <w:gridCol w:w="1576"/>
        <w:gridCol w:w="1576"/>
        <w:gridCol w:w="1576"/>
      </w:tblGrid>
      <w:tr>
        <w:tc>
          <w:tcPr>
            <w:tcW w:type="dxa" w:w="2200"/>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Readiness Skill Area</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K-2</w:t>
              <w:br/>
              <w:t>Foundational Baseline</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3-5</w:t>
              <w:br/>
              <w:t>Independent Ownership</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6-8</w:t>
              <w:br/>
              <w:t>Targeted Exploration</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9-10</w:t>
              <w:br/>
              <w:t>Pathway Alignment</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11-12</w:t>
              <w:br/>
              <w:t>Postsecondary Transition and Applied Readiness</w:t>
            </w:r>
          </w:p>
        </w:tc>
      </w:tr>
      <w:tr>
        <w:tc>
          <w:tcPr>
            <w:tcW w:type="dxa" w:w="2200"/>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shd w:fill="F2F7F5"/>
          </w:tcPr>
          <w:p>
            <w:pPr>
              <w:spacing w:before="20" w:after="60" w:line="259" w:lineRule="auto"/>
            </w:pPr>
            <w:r>
              <w:rPr>
                <w:rFonts w:ascii="Times New Roman" w:hAnsi="Times New Roman"/>
                <w:b/>
                <w:i w:val="0"/>
                <w:color w:val="1B4F46"/>
                <w:sz w:val="24"/>
                <w:spacing w:val="0"/>
              </w:rPr>
              <w:t>Belonging and Identity</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Feel welcomed, known by name, included in classroom routines, and able to name strengths, feelings, and ways they contribute.</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Develop confidence, classroom identity, and responsibility through roles, reflection, teamwork, and recognition of strengths.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Build a stronger sense of identity, peer connection, belonging, and confidence during a major developmental transition.</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Experience connection to adults, peers, activities, and academic pathways during the transition into high school.</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Maintain connection, purpose, and support as students complete graduation requirements and transition into postsecondary roles.</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K-12 Developmental Shifts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adult-created safety to student-owned belonging and support-seeking.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reactive responses to proactive connection, encouragement, and intervention.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isolated student support to coordinated adult routines that protect engagement and persistence.</w:t>
            </w:r>
          </w:p>
        </w:tc>
      </w:tr>
    </w:tbl>
    <w:p>
      <w:pPr>
        <w:spacing w:before="20" w:after="140" w:line="259" w:lineRule="auto"/>
      </w:pPr>
      <w:r>
        <w:rPr>
          <w:rFonts w:ascii="Times New Roman" w:hAnsi="Times New Roman"/>
          <w:b w:val="0"/>
          <w:i w:val="0"/>
          <w:color w:val="0E2243"/>
          <w:sz w:val="24"/>
          <w:spacing w:val="0"/>
        </w:rPr>
      </w:r>
    </w:p>
    <w:p>
      <w:pPr>
        <w:spacing w:before="200" w:after="80" w:line="259" w:lineRule="auto"/>
      </w:pPr>
      <w:r>
        <w:rPr>
          <w:rFonts w:ascii="Times New Roman" w:hAnsi="Times New Roman"/>
          <w:b/>
          <w:i w:val="0"/>
          <w:color w:val="1B4F46"/>
          <w:sz w:val="30"/>
          <w:spacing w:val="0"/>
        </w:rPr>
        <w:t>Domain 4: Student Belonging and Support for Success</w:t>
      </w:r>
    </w:p>
    <w:p>
      <w:pPr>
        <w:spacing w:before="60" w:after="60" w:line="259" w:lineRule="auto"/>
      </w:pPr>
      <w:r>
        <w:rPr>
          <w:rFonts w:ascii="Times New Roman" w:hAnsi="Times New Roman"/>
          <w:b/>
          <w:i w:val="0"/>
          <w:color w:val="0E2243"/>
          <w:sz w:val="26"/>
          <w:spacing w:val="0"/>
        </w:rPr>
        <w:t>Domain Purpose</w:t>
      </w:r>
    </w:p>
    <w:p>
      <w:pPr>
        <w:spacing w:before="0" w:after="120" w:line="259" w:lineRule="auto"/>
      </w:pPr>
      <w:r>
        <w:rPr>
          <w:rFonts w:ascii="Times New Roman" w:hAnsi="Times New Roman"/>
          <w:b w:val="0"/>
          <w:i w:val="0"/>
          <w:color w:val="0E2243"/>
          <w:sz w:val="24"/>
          <w:spacing w:val="0"/>
        </w:rPr>
        <w:t>Domain 4 assesses whether students experience belonging, connection, encouragement, and supportive conditions that help them engage, persist, and succeed.</w:t>
      </w:r>
    </w:p>
    <w:tbl>
      <w:tblPr>
        <w:tblStyle w:val="TableGrid"/>
        <w:tblW w:type="dxa" w:w="10080"/>
        <w:tblLook w:firstColumn="1" w:firstRow="1" w:lastColumn="0" w:lastRow="0" w:noHBand="0" w:noVBand="1" w:val="04A0"/>
        <w:tblLayout w:type="fixed"/>
      </w:tblPr>
      <w:tblGrid>
        <w:gridCol w:w="10080"/>
      </w:tblGrid>
      <w:tr>
        <w:tc>
          <w:tcPr>
            <w:tcW w:type="dxa" w:w="10080"/>
            <w:shd w:fill="EFF5FB"/>
            <w:tcBorders>
              <w:top w:val="single" w:sz="8" w:space="0" w:color="B8C7DA"/>
              <w:left w:val="single" w:sz="8" w:space="0" w:color="B8C7DA"/>
              <w:bottom w:val="single" w:sz="8" w:space="0" w:color="B8C7DA"/>
              <w:right w:val="single" w:sz="8" w:space="0" w:color="B8C7DA"/>
            </w:tcBorders>
            <w:tcMar>
              <w:top w:w="180" w:type="dxa"/>
              <w:start w:w="210" w:type="dxa"/>
              <w:bottom w:w="180" w:type="dxa"/>
              <w:end w:w="210" w:type="dxa"/>
            </w:tcMar>
          </w:tcPr>
          <w:p>
            <w:pPr>
              <w:spacing w:before="20" w:after="60" w:line="259" w:lineRule="auto"/>
            </w:pPr>
            <w:r>
              <w:rPr>
                <w:rFonts w:ascii="Times New Roman" w:hAnsi="Times New Roman"/>
                <w:b w:val="0"/>
                <w:i w:val="0"/>
                <w:color w:val="0E2243"/>
                <w:sz w:val="24"/>
                <w:spacing w:val="0"/>
              </w:rPr>
              <w:t>District-wide expectation: Every building must create proactive conditions so students feel known, connected, valued, and supported. Grades K-2 build safety, emotion language, classroom community, and early help-seeking. Grades 3-5 deepen peer connection, responsibility, and problem solving. Grades 6-8 strengthen belonging, identity, advisory relationships, and re-engagement. Grades 9-10 protect high school transition, adult advocacy, and persistence. Grades 11-12 sustain connection and support through graduation and postsecondary transition milestones.</w:t>
            </w:r>
          </w:p>
        </w:tc>
      </w:tr>
    </w:tbl>
    <w:p>
      <w:pPr>
        <w:spacing w:before="20" w:after="140" w:line="259" w:lineRule="auto"/>
      </w:pPr>
      <w:r>
        <w:rPr>
          <w:rFonts w:ascii="Times New Roman" w:hAnsi="Times New Roman"/>
          <w:b w:val="0"/>
          <w:i w:val="0"/>
          <w:color w:val="0E2243"/>
          <w:sz w:val="24"/>
          <w:spacing w:val="0"/>
        </w:rPr>
      </w:r>
    </w:p>
    <w:p>
      <w:pPr>
        <w:spacing w:before="160" w:after="100" w:line="259" w:lineRule="auto"/>
      </w:pPr>
      <w:r>
        <w:rPr>
          <w:rFonts w:ascii="Times New Roman" w:hAnsi="Times New Roman"/>
          <w:b/>
          <w:i w:val="0"/>
          <w:color w:val="1B4F46"/>
          <w:sz w:val="28"/>
          <w:spacing w:val="0"/>
        </w:rPr>
        <w:t>Grade-Band Implementation Direction</w:t>
      </w:r>
    </w:p>
    <w:p>
      <w:pPr>
        <w:spacing w:before="240" w:after="40" w:line="259" w:lineRule="auto"/>
      </w:pPr>
      <w:r>
        <w:rPr>
          <w:rFonts w:ascii="Times New Roman" w:hAnsi="Times New Roman"/>
          <w:b/>
          <w:i w:val="0"/>
          <w:color w:val="0E2243"/>
          <w:sz w:val="28"/>
          <w:spacing w:val="0"/>
        </w:rPr>
        <w:t>Grades K-2</w:t>
      </w:r>
    </w:p>
    <w:p>
      <w:pPr>
        <w:spacing w:before="0" w:after="100" w:line="259" w:lineRule="auto"/>
      </w:pPr>
      <w:r>
        <w:rPr>
          <w:rFonts w:ascii="Times New Roman" w:hAnsi="Times New Roman"/>
          <w:b w:val="0"/>
          <w:i/>
          <w:color w:val="1B4F46"/>
          <w:sz w:val="24"/>
          <w:spacing w:val="0"/>
        </w:rPr>
        <w:t>Build safety, connection, emotion language, classroom community, early help-seeking, and attendance habits.</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feel welcomed, known by name, included in routines, and connected to at least one trusted adult.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naming feelings, asking for help, taking turns, sharing materials, repairing small harms, and contributing to the classroom community.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predictable routines, encouragement, classroom roles, belonging language, and support before problems escalate.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begin to understand that attendance, effort, kindness, and asking for help are part of learning and readiness.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CASEL: Fundamentals of SEL</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Learning-Focused: Designing for Belonging</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greetings, relationship routines, class meetings, predictable procedures, and positive recognition to build safety and connection.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emotion language, calming routines, help-seeking, listening, turn-taking, repair, and classroom expectations explicitly.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Notice early signs of disconnection, attendance concerns, stress, conflict, or withdrawal and respond with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Communicate with families in ways that reinforce belonging, attendance, confidence, and early support.</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CASEL: Fundamentals of SEL</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Attendance Works: Teaching Attendance</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Equal Opportunity Schools: 7 Strategies for Boosting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belonging and classroom community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simple help-seeking, emotion-language, and calming strategy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early attendance and connection check process.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family communication routine focused on belonging, attendance, and support.</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Learning-Focused: Designing for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Morning welcome routine: every student is greeted by name and connected to a predictable start-of-day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Feelings and help map: students identify feelings, calming strategies, and adults who can help.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Classroom contribution roles: students rotate roles and reflect on how the role helped the 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Repair conversation: students practice naming what happened, who was affected, and what can be done to make it better.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Attendance encouragement routine: adults notice patterns early and communicate supportively with families.</w:t>
            </w:r>
          </w:p>
          <w:p>
            <w:pPr>
              <w:spacing w:before="100" w:after="0" w:line="259" w:lineRule="auto"/>
            </w:pPr>
            <w:r>
              <w:rPr>
                <w:rFonts w:ascii="Times New Roman" w:hAnsi="Times New Roman"/>
                <w:b/>
                <w:i w:val="0"/>
                <w:color w:val="1B4F46"/>
                <w:sz w:val="24"/>
                <w:spacing w:val="0"/>
              </w:rPr>
              <w:t xml:space="preserve">Resources: </w:t>
            </w:r>
            <w:hyperlink r:id="rId11">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Attendance Works: Teaching Attendance</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Equal Opportunity Schools: 7 Strategies for Boosting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Teacher notes on connection, participation, emotion language, help-seeking, and classroom contribution.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Attendance patterns, tardiness, nurse visits, behavior referrals, family contact notes, and support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drawings, reflections, or simple surveys showing whether students feel known, included, and supported.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Examples of classroom routines that teach expectations, repair, and belonging.</w:t>
            </w:r>
          </w:p>
          <w:p>
            <w:pPr>
              <w:spacing w:before="100" w:after="0" w:line="259" w:lineRule="auto"/>
            </w:pPr>
            <w:r>
              <w:rPr>
                <w:rFonts w:ascii="Times New Roman" w:hAnsi="Times New Roman"/>
                <w:b/>
                <w:i w:val="0"/>
                <w:color w:val="1B4F46"/>
                <w:sz w:val="24"/>
                <w:spacing w:val="0"/>
              </w:rPr>
              <w:t xml:space="preserve">Resources: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PERTS: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belonging and support routine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shared list of classroom practices for greeting, connection, help-seeking, calming, and repair.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early attendance and connection response process.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CASEL: Fundamentals of SEL</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GRAD Partnership: The Small ABCs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K-2: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3-5</w:t>
      </w:r>
    </w:p>
    <w:p>
      <w:pPr>
        <w:spacing w:before="0" w:after="100" w:line="259" w:lineRule="auto"/>
      </w:pPr>
      <w:r>
        <w:rPr>
          <w:rFonts w:ascii="Times New Roman" w:hAnsi="Times New Roman"/>
          <w:b w:val="0"/>
          <w:i/>
          <w:color w:val="1B4F46"/>
          <w:sz w:val="24"/>
          <w:spacing w:val="0"/>
        </w:rPr>
        <w:t>Deepen belonging, peer connection, classroom responsibility, respectful problem solving, and academic/social help-seeking.</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classrooms where strengths, identity, participation, effort, and contribution are noticed and valued.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friendship, teamwork, respectful disagreement, empathy, conflict resolution, and constructive peer feedback.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learn how to ask for academic, emotional, and social support before problems become larger barriers.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connect attendance, engagement, responsibility, and persistence to learning and future readiness.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CASEL: Fundamentals of SEL</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PERTS: Student Belonging</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classroom meetings, collaborative routines, student roles, peer feedback, and recognition to strengthen belonging.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conflict resolution, empathy, respectful disagreement, help-seeking, and repair as part of daily instruction.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participation, attendance, discipline, confidence, peer connection, and student voice across groups.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proactive contact with families when students show signs of disconnection or support needs.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CASEL: Fundamentals of SEL</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Learning-Focused: Designing for Belonging</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Equal Opportunity Schools: 7 Strategies for Boosting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class community and peer-connection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help-seeking and conflict-resolution routine taught across classrooms.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identifying students who are disconnected, frequently absent, excluded, or not participating.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family communication and support process connected to attendance, belonging, and engagement.</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GRAD Partnership: The Small ABCs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Classroom community meeting: students discuss norms, strengths, responsibilities, and ways to support one another.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Peer feedback routine: students practice giving kind, specific, and useful feedback during projects or presentations.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Help-seeking script: students learn how to ask for academic, social, or emotional help from an adult or peer.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Belonging check: students complete a short reflection about feeling known, included, safe, and supported.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Attendance problem-solving conference: adults partner with a student and family to identify barriers and supports.</w:t>
            </w:r>
          </w:p>
          <w:p>
            <w:pPr>
              <w:spacing w:before="100" w:after="0" w:line="259" w:lineRule="auto"/>
            </w:pPr>
            <w:r>
              <w:rPr>
                <w:rFonts w:ascii="Times New Roman" w:hAnsi="Times New Roman"/>
                <w:b/>
                <w:i w:val="0"/>
                <w:color w:val="1B4F46"/>
                <w:sz w:val="24"/>
                <w:spacing w:val="0"/>
              </w:rPr>
              <w:t xml:space="preserve">Resources: </w:t>
            </w:r>
            <w:hyperlink r:id="rId11">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Equal Opportunity Schools: 7 Strategies for Boosting Student Belonging</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Learning-Focused: Designing for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belonging checks, classroom climate reflections, peer feedback records, and student voice artifacts.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Attendance, discipline, participation, family contact, and support referral patterns reviewed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Teacher evidence of class meetings, conflict-resolution routines, help-seeking instruction, and proactive supports.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Examples of student roles, recognition, collaboration, and restorative repair routines.</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PERTS: Student Belonging</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belonging, peer connection, and help-seeking routine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classroom conflict-resolution and repair protocol.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monitoring attendance, participation, belonging, and support needs.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CASEL: Fundamentals of SEL</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GRAD Partnership: The Small ABCs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3-5: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6-8</w:t>
      </w:r>
    </w:p>
    <w:p>
      <w:pPr>
        <w:spacing w:before="0" w:after="100" w:line="259" w:lineRule="auto"/>
      </w:pPr>
      <w:r>
        <w:rPr>
          <w:rFonts w:ascii="Times New Roman" w:hAnsi="Times New Roman"/>
          <w:b w:val="0"/>
          <w:i/>
          <w:color w:val="1B4F46"/>
          <w:sz w:val="24"/>
          <w:spacing w:val="0"/>
        </w:rPr>
        <w:t>Support belonging, identity, peer connection, advisory relationships, conflict resolution, and engagement during the middle-level transition.</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advisory, mentoring, team, club, or classroom routines that help them feel known and connected.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build identity, confidence, peer relationships, self-advocacy, and help-seeking during a major developmental transition.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conflict resolution, restorative conversation, inclusive leadership, digital citizenship, and responsible participation.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proactive support for attendance, stress, behavior, academic difficulty, and disconnection.</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CASEL: Fundamentals of SEL</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GRAD Partnership: The Small ABCs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PERTS: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Ensure every student has a trusted adult connection and a clear support pathway.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advisory, team meetings, check-ins, student voice, and restorative routines to strengthen belonging.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attendance, behavior, grades, participation, peer connection, and climate data for early signs of disconnection.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family, counseling, teacher, and support-team responses when students need help.</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Equal Opportunity Schools: 7 Strategies for Boosting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advisory, mentoring, or adult-advocate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 voice and belonging check process.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restorative conflict-resolution and re-engagement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early warning response process for attendance, behavior, grades, participation, and support needs.</w:t>
            </w:r>
          </w:p>
          <w:p>
            <w:pPr>
              <w:spacing w:before="100" w:after="0" w:line="259" w:lineRule="auto"/>
            </w:pPr>
            <w:r>
              <w:rPr>
                <w:rFonts w:ascii="Times New Roman" w:hAnsi="Times New Roman"/>
                <w:b/>
                <w:i w:val="0"/>
                <w:color w:val="1B4F46"/>
                <w:sz w:val="24"/>
                <w:spacing w:val="0"/>
              </w:rPr>
              <w:t xml:space="preserve">Resources: </w:t>
            </w:r>
            <w:hyperlink r:id="rId17">
              <w:r>
                <w:rPr>
                  <w:rFonts w:ascii="Times New Roman" w:hAnsi="Times New Roman"/>
                  <w:sz w:val="24"/>
                  <w:color w:val="1F4E79"/>
                  <w:u w:val="single"/>
                </w:rPr>
                <w:t>GRAD Partnership: The Small ABCs</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Adult advocate roster: every student is connected to an adult who checks in regularly and notices changes.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Advisory belonging cycle: students reflect on connection, stress, goals, supports, and next actions.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Restorative circle or conference: students repair harm, restore relationships, and plan how to move forward.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Activity connection audit: the building identifies students who are not connected to clubs, teams, leadership, service, or groups.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Early warning meeting: staff review attendance, grades, behavior, and climate indicators and assign follow-up support.</w:t>
            </w:r>
          </w:p>
          <w:p>
            <w:pPr>
              <w:spacing w:before="100" w:after="0" w:line="259" w:lineRule="auto"/>
            </w:pPr>
            <w:r>
              <w:rPr>
                <w:rFonts w:ascii="Times New Roman" w:hAnsi="Times New Roman"/>
                <w:b/>
                <w:i w:val="0"/>
                <w:color w:val="1B4F46"/>
                <w:sz w:val="24"/>
                <w:spacing w:val="0"/>
              </w:rPr>
              <w:t xml:space="preserve">Resources: </w:t>
            </w:r>
            <w:hyperlink r:id="rId11">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Equal Opportunity Schools: 7 Strategies for Boosting Student Belonging</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Alison Yang: Student Belonging Strategies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Belonging surveys, advisory reflections, adult advocate logs, student voice artifacts, and support follow-up notes.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Attendance, behavior, grades, course performance, activity participation, and counseling/support data reviewed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Restorative practice records, conflict-resolution reflections, and re-engagement plans.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Evidence that students can name an adult who knows them and knows how to access support.</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PERTS: Student Belonging</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GRAD Partnership: The Small ABCs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advisory or adult-advocate implementation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belonging and student voice evidence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restorative response and re-engagement protocol.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early warning and support-team response process.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GRAD Partnership: The Small ABCs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6-8: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9-10</w:t>
      </w:r>
    </w:p>
    <w:p>
      <w:pPr>
        <w:spacing w:before="0" w:after="100" w:line="259" w:lineRule="auto"/>
      </w:pPr>
      <w:r>
        <w:rPr>
          <w:rFonts w:ascii="Times New Roman" w:hAnsi="Times New Roman"/>
          <w:b w:val="0"/>
          <w:i/>
          <w:color w:val="1B4F46"/>
          <w:sz w:val="24"/>
          <w:spacing w:val="0"/>
        </w:rPr>
        <w:t>Protect engagement and persistence during the high school transition through belonging, adult advocacy, early warning routines, and proactive support.</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a strong transition into high school with adult advocacy, peer connection, and clear support pathways.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feel connected to courses, activities, pathways, teams, clubs, service, or groups that strengthen engagement.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learn how to seek help for attendance, credits, grades, stress, relationships, pathway decisions, and barriers.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timely support when early warning indicators show risk of disconnection or falling off track.</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PERTS: Student Belonging</w:t>
              </w:r>
            </w:hyperlink>
            <w:r>
              <w:rPr>
                <w:rFonts w:ascii="Times New Roman" w:hAnsi="Times New Roman"/>
                <w:b w:val="0"/>
                <w:i w:val="0"/>
                <w:color w:val="0E2243"/>
                <w:sz w:val="24"/>
                <w:spacing w:val="0"/>
              </w:rPr>
              <w:t xml:space="preserve">; </w:t>
            </w:r>
            <w:hyperlink r:id="rId9">
              <w:r>
                <w:rPr>
                  <w:rFonts w:ascii="Times New Roman" w:hAnsi="Times New Roman"/>
                  <w:sz w:val="24"/>
                  <w:color w:val="1F4E79"/>
                  <w:u w:val="single"/>
                </w:rPr>
                <w:t>CASEL: Fundamentals of SEL</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transition routines, adult advocates, advisory, and student-success teams to monitor belonging and engagement.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attendance, credits, grades, discipline, participation, and climate data before problems become entrenched.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teachers, counselors, families, support staff, and administrators around student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Reduce exclusionary responses when possible by using restorative, instructional, and supportive re-engagement practices.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Learning-Focused: Designing for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 9-10 transition and adult advocate process.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early warning and student-success team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support pathway for attendance, academics, behavior, stress, peer conflict, and family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connecting students to activities, pathways, service, clubs, or leadership opportunities.</w:t>
            </w:r>
          </w:p>
          <w:p>
            <w:pPr>
              <w:spacing w:before="100" w:after="0" w:line="259" w:lineRule="auto"/>
            </w:pPr>
            <w:r>
              <w:rPr>
                <w:rFonts w:ascii="Times New Roman" w:hAnsi="Times New Roman"/>
                <w:b/>
                <w:i w:val="0"/>
                <w:color w:val="1B4F46"/>
                <w:sz w:val="24"/>
                <w:spacing w:val="0"/>
              </w:rPr>
              <w:t xml:space="preserve">Resources: </w:t>
            </w:r>
            <w:hyperlink r:id="rId17">
              <w:r>
                <w:rPr>
                  <w:rFonts w:ascii="Times New Roman" w:hAnsi="Times New Roman"/>
                  <w:sz w:val="24"/>
                  <w:color w:val="1F4E79"/>
                  <w:u w:val="single"/>
                </w:rPr>
                <w:t>GRAD Partnership: The Small ABCs</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PBIS: Positive Behavioral Interventions and Supports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Grade 9 connection conference: students review transition, relationships, activities, grades, attendance,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Student-success team cycle: staff review early warning indicators and assign specific adult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Re-engagement plan: students returning from absence, discipline, or academic difficulty identify supports and next steps.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Connection audit: the school identifies students not attached to an adult, activity, peer group, pathway, or support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support contact: staff communicate early with families about attendance, credits, stress, or support needs.</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Attendance Works: Teaching Attendance</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Grade 9-10 attendance, credits, grades, behavior, support referrals, climate survey, and participation data.</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Adult advocate logs, student-success team notes, re-engagement plans, and family contact records.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voice evidence showing whether students feel known, supported, safe, and connected.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Disaggregated data showing access to activities, pathways, adult support, and proactive intervention.</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PERTS: Student Belonging</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 9-10 transition and adult advocate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early warning and student-success team protocol.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re-engagement and support pathway.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monitoring student connection to adults, peers, activities, and pathways.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ASCA Mindsets and Behaviors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9-10: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11-12</w:t>
      </w:r>
    </w:p>
    <w:p>
      <w:pPr>
        <w:spacing w:before="0" w:after="100" w:line="259" w:lineRule="auto"/>
      </w:pPr>
      <w:r>
        <w:rPr>
          <w:rFonts w:ascii="Times New Roman" w:hAnsi="Times New Roman"/>
          <w:b w:val="0"/>
          <w:i/>
          <w:color w:val="1B4F46"/>
          <w:sz w:val="24"/>
          <w:spacing w:val="0"/>
        </w:rPr>
        <w:t>Sustain belonging, persistence, adult support, and problem solving as students complete graduation and transition milestones.</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maintain connection to trusted adults, peers, pathways, and supports while completing graduation and transition requirements.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proactive help with attendance, credits, applications, financial aid, employment, enlistment, stress, and barriers.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self-advocacy, support-seeking, responsible decision-making, repair, leadership, and persistence.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belonging and encouragement through capstone, pathway, work-based, service, leadership, or transition activities.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CASEL: Fundamentals of SEL</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GRAD Partnership: The Small ABCs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Track student connection, placement progress, attendance, credits, stressors, support needs, and barriers through graduation.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teachers, advisors, counselors, families, employers, postsecondary partners, and community supports.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restorative and re-engagement practices when students disconnect, miss milestones, or encounter barriers.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Ensure students do not lose support simply because they are close to graduation.</w:t>
            </w:r>
          </w:p>
          <w:p>
            <w:pPr>
              <w:spacing w:before="100" w:after="0" w:line="259" w:lineRule="auto"/>
            </w:pPr>
            <w:r>
              <w:rPr>
                <w:rFonts w:ascii="Times New Roman" w:hAnsi="Times New Roman"/>
                <w:b/>
                <w:i w:val="0"/>
                <w:color w:val="1B4F46"/>
                <w:sz w:val="24"/>
                <w:spacing w:val="0"/>
              </w:rPr>
              <w:t xml:space="preserve">Resources: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persistence and transition support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trusted adult or advisor check-in process through graduation.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barrier-solving process for attendance, credits, applications, financial aid, employment, enlistment, and independent living.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leadership and contribution routine that helps older students strengthen school culture and mentor others.</w:t>
            </w:r>
          </w:p>
          <w:p>
            <w:pPr>
              <w:spacing w:before="100" w:after="0" w:line="259" w:lineRule="auto"/>
            </w:pPr>
            <w:r>
              <w:rPr>
                <w:rFonts w:ascii="Times New Roman" w:hAnsi="Times New Roman"/>
                <w:b/>
                <w:i w:val="0"/>
                <w:color w:val="1B4F46"/>
                <w:sz w:val="24"/>
                <w:spacing w:val="0"/>
              </w:rPr>
              <w:t xml:space="preserve">Resources: </w:t>
            </w:r>
            <w:hyperlink r:id="rId17">
              <w:r>
                <w:rPr>
                  <w:rFonts w:ascii="Times New Roman" w:hAnsi="Times New Roman"/>
                  <w:sz w:val="24"/>
                  <w:color w:val="1F4E79"/>
                  <w:u w:val="single"/>
                </w:rPr>
                <w:t>GRAD Partnership: The Small ABCs</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PBIS: Positive Behavioral Interventions and Supports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Senior support conference: each student reviews connection, credits, attendance, transition milestones, barriers, and next support actions.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Barrier-solving protocol: students and adults identify the obstacle, support needed, responsible person, deadline, and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Peer mentor or ambassador role: older students support younger students, welcome newcomers, or strengthen school culture.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Re-engagement meeting: students who miss milestones or disconnect are supported with a concrete plan rather than left to drift.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Transition stress check: students identify concerns related to graduation, money, work, family, applications, or next steps.</w:t>
            </w:r>
          </w:p>
          <w:p>
            <w:pPr>
              <w:spacing w:before="100" w:after="0" w:line="259" w:lineRule="auto"/>
            </w:pPr>
            <w:r>
              <w:rPr>
                <w:rFonts w:ascii="Times New Roman" w:hAnsi="Times New Roman"/>
                <w:b/>
                <w:i w:val="0"/>
                <w:color w:val="1B4F46"/>
                <w:sz w:val="24"/>
                <w:spacing w:val="0"/>
              </w:rPr>
              <w:t xml:space="preserve">Resources: </w:t>
            </w:r>
            <w:hyperlink r:id="rId11">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Attendance Works: Teaching Attendance</w:t>
              </w:r>
            </w:hyperlink>
            <w:r>
              <w:rPr>
                <w:rFonts w:ascii="Times New Roman" w:hAnsi="Times New Roman"/>
                <w:b w:val="0"/>
                <w:i w:val="0"/>
                <w:color w:val="0E2243"/>
                <w:sz w:val="24"/>
                <w:spacing w:val="0"/>
              </w:rPr>
              <w:t xml:space="preserve">; </w:t>
            </w:r>
            <w:hyperlink r:id="rId21">
              <w:r>
                <w:rPr>
                  <w:rFonts w:ascii="Times New Roman" w:hAnsi="Times New Roman"/>
                  <w:sz w:val="24"/>
                  <w:color w:val="1F4E79"/>
                  <w:u w:val="single"/>
                </w:rPr>
                <w:t>The Educators Room: Rebuilding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Senior check-in records, attendance, credits, applications, financial aid milestones, support referrals, and barrier-resolution notes.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belonging, support, stress, and confidence data reviewed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in mentoring, leadership, service, capstone, work-based learning, and transition activities.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Evidence that students with barriers receive timely follow-up and remain connected through graduation.</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PERTS: Student Belonging</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persistence and transition support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senior check-in and barrier-solving protocol.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re-engagement routine for students who miss milestones or disconnect.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monitoring connection, belonging, support access, and transition persistence.</w:t>
            </w:r>
          </w:p>
          <w:p>
            <w:pPr>
              <w:spacing w:before="100" w:after="0" w:line="259" w:lineRule="auto"/>
            </w:pPr>
            <w:r>
              <w:rPr>
                <w:rFonts w:ascii="Times New Roman" w:hAnsi="Times New Roman"/>
                <w:b/>
                <w:i w:val="0"/>
                <w:color w:val="1B4F46"/>
                <w:sz w:val="24"/>
                <w:spacing w:val="0"/>
              </w:rPr>
              <w:t xml:space="preserve">Resources: </w:t>
            </w:r>
            <w:hyperlink r:id="rId15">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PBIS: Positive Behavioral Interventions and Supports</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NACE: Career Readiness Competencies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11-12: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00" w:after="100" w:line="259" w:lineRule="auto"/>
      </w:pPr>
      <w:r>
        <w:rPr>
          <w:rFonts w:ascii="Times New Roman" w:hAnsi="Times New Roman"/>
          <w:b/>
          <w:i w:val="0"/>
          <w:color w:val="1B4F46"/>
          <w:sz w:val="28"/>
          <w:spacing w:val="0"/>
        </w:rPr>
        <w:t>District Follow-Through</w:t>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the district supports implementation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clear readiness language, examples, templates, and communication tools so buildings do not have to invent the framework.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building plans to confirm that grade-band expectations are clear, realistic, and aligned to the district model.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quarterly building updates to identify cross-building patterns, access gaps, implementation barriers,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professional learning, coaching, partnership support, and problem-solving help when buildings encounter barriers.</w:t>
            </w:r>
          </w:p>
        </w:tc>
      </w:tr>
    </w:tbl>
    <w:p>
      <w:pPr>
        <w:spacing w:before="20" w:after="140" w:line="259" w:lineRule="auto"/>
      </w:pPr>
      <w:r>
        <w:rPr>
          <w:rFonts w:ascii="Times New Roman" w:hAnsi="Times New Roman"/>
          <w:b w:val="0"/>
          <w:i w:val="0"/>
          <w:color w:val="0E2243"/>
          <w:sz w:val="24"/>
          <w:spacing w:val="0"/>
        </w:rPr>
      </w:r>
    </w:p>
    <w:sectPr w:rsidR="00FC693F" w:rsidRPr="0006063C" w:rsidSect="00034616">
      <w:pgSz w:w="12240" w:h="15840"/>
      <w:pgMar w:top="1037" w:right="1080" w:bottom="1037"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before="0" w:after="6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z w:val="24"/>
      <w:szCs w:val="24"/>
    </w:rPr>
  </w:style>
  <w:style w:type="paragraph" w:styleId="ListParagraph">
    <w:name w:val="List Paragraph"/>
    <w:basedOn w:val="Normal"/>
    <w:uiPriority w:val="34"/>
    <w:qFormat/>
    <w:rsid w:val="00FC693F"/>
    <w:pPr>
      <w:spacing w:line="259" w:lineRule="auto" w:before="0" w:after="60"/>
      <w:ind w:left="720"/>
      <w:contextualSpacing/>
    </w:pPr>
    <w:rPr>
      <w:rFonts w:ascii="Times New Roman" w:hAnsi="Times New Roman"/>
      <w:sz w:val="24"/>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59" w:lineRule="auto" w:before="0" w:after="60"/>
      <w:contextualSpacing/>
    </w:pPr>
    <w:rPr>
      <w:rFonts w:ascii="Times New Roman" w:hAnsi="Times New Roman"/>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u w:val="single"/>
    </w:rPr>
  </w:style>
  <w:style w:type="character" w:styleId="BookTitle">
    <w:name w:val="Book Title"/>
    <w:basedOn w:val="DefaultParagraphFont"/>
    <w:uiPriority w:val="33"/>
    <w:qFormat/>
    <w:rsid w:val="00FC693F"/>
    <w:rPr>
      <w:b/>
      <w:bCs/>
      <w:smallCaps/>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asel.org/fundamentals-of-sel/" TargetMode="External"/><Relationship Id="rId10" Type="http://schemas.openxmlformats.org/officeDocument/2006/relationships/hyperlink" Target="https://learningfocused.com/blogs/effective-teaching-strategies/designing-for-belonging-classroom-strategies-that-build-readiness-to-learn" TargetMode="External"/><Relationship Id="rId11" Type="http://schemas.openxmlformats.org/officeDocument/2006/relationships/hyperlink" Target="https://www.pa.gov/agencies/education/resources/student/career-ready-pa/pennsylvania-career-ready-skills/pa-career-ready-skills-toolkit" TargetMode="External"/><Relationship Id="rId12" Type="http://schemas.openxmlformats.org/officeDocument/2006/relationships/hyperlink" Target="https://www.pbis.org/" TargetMode="External"/><Relationship Id="rId13" Type="http://schemas.openxmlformats.org/officeDocument/2006/relationships/hyperlink" Target="https://www.attendanceworks.org/resources/teaching-attendance-2-0/" TargetMode="External"/><Relationship Id="rId14" Type="http://schemas.openxmlformats.org/officeDocument/2006/relationships/hyperlink" Target="https://eoschools.org/7-strategies-for-boosting-student-belonging/" TargetMode="External"/><Relationship Id="rId15" Type="http://schemas.openxmlformats.org/officeDocument/2006/relationships/hyperlink" Target="https://www.attendanceworks.org/resources/" TargetMode="External"/><Relationship Id="rId16" Type="http://schemas.openxmlformats.org/officeDocument/2006/relationships/hyperlink" Target="https://www.perts.net/student-belonging" TargetMode="External"/><Relationship Id="rId17" Type="http://schemas.openxmlformats.org/officeDocument/2006/relationships/hyperlink" Target="https://www.gradpartnership.org/resources/the-small-abcs/" TargetMode="External"/><Relationship Id="rId18" Type="http://schemas.openxmlformats.org/officeDocument/2006/relationships/hyperlink" Target="https://www.schoolcounselor.org/Standards-Positions/Standards/ASCA-Mindsets-Behaviors-for-Student-Success" TargetMode="External"/><Relationship Id="rId19" Type="http://schemas.openxmlformats.org/officeDocument/2006/relationships/hyperlink" Target="https://alisonyang.com/student-belonging-strategies-science/" TargetMode="External"/><Relationship Id="rId20" Type="http://schemas.openxmlformats.org/officeDocument/2006/relationships/hyperlink" Target="https://www.naceweb.org/career-readiness/competencies/career-readiness-defined" TargetMode="External"/><Relationship Id="rId21" Type="http://schemas.openxmlformats.org/officeDocument/2006/relationships/hyperlink" Target="https://theeducatorsroom.com/how-schools-can-rebuild-student-belonging-strategies-that-improve-engagement-mental-health-and-academic-su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Building Implementation Guide Prototype - Domain 4 Grade-Band V1</dc:title>
  <dc:subject>Master Building Implementation Guide prototype with Domain 1 developed</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