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dxa" w:w="10080"/>
        <w:tblLook w:firstColumn="1" w:firstRow="1" w:lastColumn="0" w:lastRow="0" w:noHBand="0" w:noVBand="1" w:val="04A0"/>
        <w:tblLayout w:type="fixed"/>
      </w:tblPr>
      <w:tblGrid>
        <w:gridCol w:w="10080"/>
      </w:tblGrid>
      <w:tr>
        <w:tc>
          <w:tcPr>
            <w:tcW w:type="dxa" w:w="10080"/>
            <w:shd w:fill="1B4F46"/>
            <w:tcBorders>
              <w:top w:val="single" w:sz="8" w:space="0" w:color="1B4F46"/>
              <w:left w:val="single" w:sz="8" w:space="0" w:color="1B4F46"/>
              <w:bottom w:val="single" w:sz="8" w:space="0" w:color="1B4F46"/>
              <w:right w:val="single" w:sz="8" w:space="0" w:color="1B4F46"/>
            </w:tcBorders>
            <w:tcMar>
              <w:top w:w="250" w:type="dxa"/>
              <w:start w:w="220" w:type="dxa"/>
              <w:bottom w:w="250" w:type="dxa"/>
              <w:end w:w="220" w:type="dxa"/>
            </w:tcMar>
          </w:tcPr>
          <w:p>
            <w:pPr>
              <w:jc w:val="center"/>
            </w:pPr>
            <w:r>
              <w:rPr>
                <w:rFonts w:ascii="Times New Roman" w:hAnsi="Times New Roman"/>
                <w:b/>
                <w:i w:val="0"/>
                <w:color w:val="D8B864"/>
                <w:sz w:val="36"/>
                <w:spacing w:val="0"/>
              </w:rPr>
              <w:t>Preparing Students for Life After High School</w:t>
            </w:r>
          </w:p>
          <w:p>
            <w:pPr>
              <w:jc w:val="center"/>
            </w:pPr>
            <w:r>
              <w:rPr>
                <w:rFonts w:ascii="Times New Roman" w:hAnsi="Times New Roman"/>
                <w:b/>
                <w:i w:val="0"/>
                <w:color w:val="FFFFFF"/>
                <w:sz w:val="28"/>
                <w:spacing w:val="0"/>
              </w:rPr>
              <w:t>Building Implementation Guide</w:t>
            </w:r>
          </w:p>
        </w:tc>
      </w:tr>
    </w:tbl>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How to Use This Guide and Why This Work Matters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Preparing students for life after high school should be central to the mission of K-12 education. Graduation is not the finish line by itself.</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This guide describes what students should experience across K-12 in order to leave high school prepared for enrollment, enlistment, employment, civic participation, and adult life.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Building teams should focus on the grade bands served in their specific building and use the implementation examples as starting points.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the public resource links inside each component row when the building team needs examples, models, or implementation support.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Complete the planning response table to identify local decisions, first actions, evidence, and district support needs.</w:t>
            </w:r>
          </w:p>
        </w:tc>
      </w:tr>
    </w:tbl>
    <w:p>
      <w:pPr>
        <w:spacing w:before="20" w:after="140" w:line="259" w:lineRule="auto"/>
      </w:pPr>
      <w:r>
        <w:rPr>
          <w:rFonts w:ascii="Times New Roman" w:hAnsi="Times New Roman"/>
          <w:b w:val="0"/>
          <w:i w:val="0"/>
          <w:color w:val="0E2243"/>
          <w:sz w:val="24"/>
          <w:spacing w:val="0"/>
        </w:rPr>
      </w:r>
    </w:p>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Enhancing Content, Not Adding Tasks</w:t>
            </w:r>
          </w:p>
          <w:p>
            <w:pPr>
              <w:spacing w:before="0" w:after="60" w:line="259" w:lineRule="auto"/>
            </w:pPr>
            <w:r>
              <w:rPr>
                <w:rFonts w:ascii="Times New Roman" w:hAnsi="Times New Roman"/>
                <w:b w:val="0"/>
                <w:i w:val="0"/>
                <w:color w:val="0E2243"/>
                <w:sz w:val="24"/>
                <w:spacing w:val="0"/>
              </w:rPr>
              <w:t>The strategies in this guide are designed to strengthen existing curriculum and instruction, not add a separate layer of work. Schools remain responsible for teaching required content, meeting state standards, preparing students for required assessments, and working within accountability expectations. This guide helps building teams embed future-ready skills, authentic application, student reflection, engagement, and readiness experiences into the instructional work already taking place. The goal is to make required learning more meaningful, connected, engaging, and useful for students without creating disconnected tasks or standalone initiatives.</w:t>
            </w:r>
          </w:p>
        </w:tc>
      </w:tr>
    </w:tbl>
    <w:p>
      <w:pPr>
        <w:spacing w:before="20" w:after="140" w:line="259" w:lineRule="auto"/>
      </w:pPr>
      <w:r>
        <w:rPr>
          <w:rFonts w:ascii="Times New Roman" w:hAnsi="Times New Roman"/>
          <w:b w:val="0"/>
          <w:i w:val="0"/>
          <w:color w:val="0E2243"/>
          <w:sz w:val="24"/>
          <w:spacing w:val="0"/>
        </w:rPr>
      </w:r>
    </w:p>
    <w:p>
      <w:pPr>
        <w:spacing w:before="140" w:after="80" w:line="259" w:lineRule="auto"/>
      </w:pPr>
      <w:r>
        <w:rPr>
          <w:rFonts w:ascii="Times New Roman" w:hAnsi="Times New Roman"/>
          <w:b/>
          <w:i w:val="0"/>
          <w:color w:val="1B4F46"/>
          <w:sz w:val="28"/>
          <w:spacing w:val="0"/>
        </w:rPr>
        <w:t>Example K-12 Skill Progression</w:t>
      </w:r>
    </w:p>
    <w:p>
      <w:pPr>
        <w:spacing w:before="0" w:after="120" w:line="259" w:lineRule="auto"/>
      </w:pPr>
      <w:r>
        <w:rPr>
          <w:rFonts w:ascii="Times New Roman" w:hAnsi="Times New Roman"/>
          <w:b w:val="0"/>
          <w:i w:val="0"/>
          <w:color w:val="0E2243"/>
          <w:sz w:val="24"/>
          <w:spacing w:val="0"/>
        </w:rPr>
        <w:t>The example below shows how one readiness skill can develop from kindergarten to postsecondary transition. It is included to help buildings see the progression across grade levels before applying this domain's guidance.</w:t>
      </w:r>
    </w:p>
    <w:tbl>
      <w:tblPr>
        <w:tblStyle w:val="TableGrid"/>
        <w:tblW w:type="dxa" w:w="10080"/>
        <w:tblLook w:firstColumn="1" w:firstRow="1" w:lastColumn="0" w:lastRow="0" w:noHBand="0" w:noVBand="1" w:val="04A0"/>
        <w:tblLayout w:type="fixed"/>
      </w:tblPr>
      <w:tblGrid>
        <w:gridCol w:w="2200"/>
        <w:gridCol w:w="1576"/>
        <w:gridCol w:w="1576"/>
        <w:gridCol w:w="1576"/>
        <w:gridCol w:w="1576"/>
        <w:gridCol w:w="1576"/>
      </w:tblGrid>
      <w:tr>
        <w:tc>
          <w:tcPr>
            <w:tcW w:type="dxa" w:w="2200"/>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Readiness Skill Area</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K-2</w:t>
              <w:br/>
              <w:t>Foundational Baseline</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3-5</w:t>
              <w:br/>
              <w:t>Independent Ownership</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6-8</w:t>
              <w:br/>
              <w:t>Targeted Exploration</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9-10</w:t>
              <w:br/>
              <w:t>Pathway Alignment</w:t>
            </w:r>
          </w:p>
        </w:tc>
        <w:tc>
          <w:tcPr>
            <w:tcW w:type="dxa" w:w="1576"/>
            <w:shd w:fill="1B4F46"/>
            <w:tcBorders>
              <w:top w:val="single" w:sz="8" w:space="0" w:color="1B4F46"/>
              <w:left w:val="single" w:sz="8" w:space="0" w:color="1B4F46"/>
              <w:bottom w:val="single" w:sz="8" w:space="0" w:color="1B4F46"/>
              <w:right w:val="single" w:sz="8" w:space="0" w:color="1B4F46"/>
            </w:tcBorders>
            <w:tcMar>
              <w:top w:w="100" w:type="dxa"/>
              <w:start w:w="95" w:type="dxa"/>
              <w:bottom w:w="100" w:type="dxa"/>
              <w:end w:w="95" w:type="dxa"/>
            </w:tcMar>
          </w:tcPr>
          <w:p>
            <w:pPr>
              <w:spacing w:before="20" w:after="60" w:line="259" w:lineRule="auto"/>
              <w:jc w:val="center"/>
            </w:pPr>
            <w:r>
              <w:rPr>
                <w:rFonts w:ascii="Times New Roman" w:hAnsi="Times New Roman"/>
                <w:b/>
                <w:i w:val="0"/>
                <w:color w:val="FFFFFF"/>
                <w:sz w:val="24"/>
                <w:spacing w:val="0"/>
              </w:rPr>
              <w:t>Grades 11-12</w:t>
              <w:br/>
              <w:t>Postsecondary Transition and Applied Readiness</w:t>
            </w:r>
          </w:p>
        </w:tc>
      </w:tr>
      <w:tr>
        <w:tc>
          <w:tcPr>
            <w:tcW w:type="dxa" w:w="2200"/>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shd w:fill="F2F7F5"/>
          </w:tcPr>
          <w:p>
            <w:pPr>
              <w:spacing w:before="20" w:after="60" w:line="259" w:lineRule="auto"/>
            </w:pPr>
            <w:r>
              <w:rPr>
                <w:rFonts w:ascii="Times New Roman" w:hAnsi="Times New Roman"/>
                <w:b/>
                <w:i w:val="0"/>
                <w:color w:val="1B4F46"/>
                <w:sz w:val="24"/>
                <w:spacing w:val="0"/>
              </w:rPr>
              <w:t>Future Awareness and Pathway Language</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Recognize many adult roles, community helpers, interests, strengths, and ways people contribute through work, service, learning, and care.</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Explore broad career fields, community needs, hobbies, strengths, and school experiences that connect to possible futures.</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Use common pathway language to compare career clusters, personal interests, strengths, work values, and high school opportunities.</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Connect high school course choices, CTE, advanced coursework, activities, and supports to possible postsecondary and career directions.</w:t>
            </w:r>
          </w:p>
        </w:tc>
        <w:tc>
          <w:tcPr>
            <w:tcW w:type="dxa" w:w="1576"/>
            <w:tcBorders>
              <w:top w:val="single" w:sz="6" w:space="0" w:color="D5DBE5"/>
              <w:left w:val="single" w:sz="6" w:space="0" w:color="D5DBE5"/>
              <w:bottom w:val="single" w:sz="6" w:space="0" w:color="D5DBE5"/>
              <w:right w:val="single" w:sz="6" w:space="0" w:color="D5DBE5"/>
            </w:tcBorders>
            <w:tcMar>
              <w:top w:w="105" w:type="dxa"/>
              <w:start w:w="95" w:type="dxa"/>
              <w:bottom w:w="105" w:type="dxa"/>
              <w:end w:w="95" w:type="dxa"/>
            </w:tcMar>
          </w:tcPr>
          <w:p>
            <w:pPr>
              <w:spacing w:before="20" w:after="60" w:line="259" w:lineRule="auto"/>
            </w:pPr>
            <w:r>
              <w:rPr>
                <w:rFonts w:ascii="Times New Roman" w:hAnsi="Times New Roman"/>
                <w:b w:val="0"/>
                <w:i w:val="0"/>
                <w:color w:val="0E2243"/>
                <w:sz w:val="24"/>
                <w:spacing w:val="0"/>
              </w:rPr>
              <w:t>Finalize a current Enrollment, Enlistment, or Employment direction with next steps, requirements, deadlines, supports, and backup options.</w:t>
            </w:r>
          </w:p>
        </w:tc>
      </w:tr>
    </w:tbl>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K-12 Developmental Shifts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From broad awareness to informed direction.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From adult-guided exploration to student-owned planning.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From isolated activities to coherent pathway experiences.</w:t>
            </w:r>
          </w:p>
        </w:tc>
      </w:tr>
    </w:tbl>
    <w:p>
      <w:pPr>
        <w:spacing w:before="20" w:after="140" w:line="259" w:lineRule="auto"/>
      </w:pPr>
      <w:r>
        <w:rPr>
          <w:rFonts w:ascii="Times New Roman" w:hAnsi="Times New Roman"/>
          <w:b w:val="0"/>
          <w:i w:val="0"/>
          <w:color w:val="0E2243"/>
          <w:sz w:val="24"/>
          <w:spacing w:val="0"/>
        </w:rPr>
      </w:r>
    </w:p>
    <w:p>
      <w:pPr>
        <w:spacing w:before="200" w:after="80" w:line="259" w:lineRule="auto"/>
      </w:pPr>
      <w:r>
        <w:rPr>
          <w:rFonts w:ascii="Times New Roman" w:hAnsi="Times New Roman"/>
          <w:b/>
          <w:i w:val="0"/>
          <w:color w:val="1B4F46"/>
          <w:sz w:val="30"/>
          <w:spacing w:val="0"/>
        </w:rPr>
        <w:t>Domain 2: Student Pathways and Future Direction</w:t>
      </w:r>
    </w:p>
    <w:p>
      <w:pPr>
        <w:spacing w:before="60" w:after="60" w:line="259" w:lineRule="auto"/>
      </w:pPr>
      <w:r>
        <w:rPr>
          <w:rFonts w:ascii="Times New Roman" w:hAnsi="Times New Roman"/>
          <w:b/>
          <w:i w:val="0"/>
          <w:color w:val="0E2243"/>
          <w:sz w:val="26"/>
          <w:spacing w:val="0"/>
        </w:rPr>
        <w:t>Domain Purpose</w:t>
      </w:r>
    </w:p>
    <w:p>
      <w:pPr>
        <w:spacing w:before="0" w:after="120" w:line="259" w:lineRule="auto"/>
      </w:pPr>
      <w:r>
        <w:rPr>
          <w:rFonts w:ascii="Times New Roman" w:hAnsi="Times New Roman"/>
          <w:b w:val="0"/>
          <w:i w:val="0"/>
          <w:color w:val="0E2243"/>
          <w:sz w:val="24"/>
          <w:spacing w:val="0"/>
        </w:rPr>
        <w:t>Domain 2 clarifies how students gradually develop pathway awareness, future direction, advising skills, career-connected experiences, and transition navigation across K-12.</w:t>
      </w:r>
    </w:p>
    <w:tbl>
      <w:tblPr>
        <w:tblStyle w:val="TableGrid"/>
        <w:tblW w:type="dxa" w:w="10080"/>
        <w:tblLook w:firstColumn="1" w:firstRow="1" w:lastColumn="0" w:lastRow="0" w:noHBand="0" w:noVBand="1" w:val="04A0"/>
        <w:tblLayout w:type="fixed"/>
      </w:tblPr>
      <w:tblGrid>
        <w:gridCol w:w="10080"/>
      </w:tblGrid>
      <w:tr>
        <w:tc>
          <w:tcPr>
            <w:tcW w:type="dxa" w:w="10080"/>
            <w:shd w:fill="EFF5FB"/>
            <w:tcBorders>
              <w:top w:val="single" w:sz="8" w:space="0" w:color="B8C7DA"/>
              <w:left w:val="single" w:sz="8" w:space="0" w:color="B8C7DA"/>
              <w:bottom w:val="single" w:sz="8" w:space="0" w:color="B8C7DA"/>
              <w:right w:val="single" w:sz="8" w:space="0" w:color="B8C7DA"/>
            </w:tcBorders>
            <w:tcMar>
              <w:top w:w="180" w:type="dxa"/>
              <w:start w:w="210" w:type="dxa"/>
              <w:bottom w:w="180" w:type="dxa"/>
              <w:end w:w="210" w:type="dxa"/>
            </w:tcMar>
          </w:tcPr>
          <w:p>
            <w:pPr>
              <w:spacing w:before="20" w:after="60" w:line="259" w:lineRule="auto"/>
            </w:pPr>
            <w:r>
              <w:rPr>
                <w:rFonts w:ascii="Times New Roman" w:hAnsi="Times New Roman"/>
                <w:b w:val="0"/>
                <w:i w:val="0"/>
                <w:color w:val="0E2243"/>
                <w:sz w:val="24"/>
                <w:spacing w:val="0"/>
              </w:rPr>
              <w:t>District-wide expectation: Every building must help students develop purpose, direction, and future awareness over time. Grades K-2 build early awareness of roles, interests, strengths, and contribution. Grades 3-5 connect interests, strengths, responsibility, and learning to broad future possibilities. Grades 6-8 provide structured exploration and transition preparation. Grades 9-10 align high school choices with pathway options and individual planning. Grades 11-12 ensure every student has a viable Enrollment, Enlistment, or Employment plan with milestones, evidence, support, and backup options.</w:t>
            </w:r>
          </w:p>
        </w:tc>
      </w:tr>
    </w:tbl>
    <w:p>
      <w:pPr>
        <w:spacing w:before="20" w:after="140" w:line="259" w:lineRule="auto"/>
      </w:pPr>
      <w:r>
        <w:rPr>
          <w:rFonts w:ascii="Times New Roman" w:hAnsi="Times New Roman"/>
          <w:b w:val="0"/>
          <w:i w:val="0"/>
          <w:color w:val="0E2243"/>
          <w:sz w:val="24"/>
          <w:spacing w:val="0"/>
        </w:rPr>
      </w:r>
    </w:p>
    <w:p>
      <w:pPr>
        <w:spacing w:before="160" w:after="100" w:line="259" w:lineRule="auto"/>
      </w:pPr>
      <w:r>
        <w:rPr>
          <w:rFonts w:ascii="Times New Roman" w:hAnsi="Times New Roman"/>
          <w:b/>
          <w:i w:val="0"/>
          <w:color w:val="1B4F46"/>
          <w:sz w:val="28"/>
          <w:spacing w:val="0"/>
        </w:rPr>
        <w:t>Grade-Band Implementation Direction</w:t>
      </w:r>
    </w:p>
    <w:p>
      <w:pPr>
        <w:spacing w:before="240" w:after="40" w:line="259" w:lineRule="auto"/>
      </w:pPr>
      <w:r>
        <w:rPr>
          <w:rFonts w:ascii="Times New Roman" w:hAnsi="Times New Roman"/>
          <w:b/>
          <w:i w:val="0"/>
          <w:color w:val="0E2243"/>
          <w:sz w:val="28"/>
          <w:spacing w:val="0"/>
        </w:rPr>
        <w:t>Grades K-2</w:t>
      </w:r>
    </w:p>
    <w:p>
      <w:pPr>
        <w:spacing w:before="0" w:after="100" w:line="259" w:lineRule="auto"/>
      </w:pPr>
      <w:r>
        <w:rPr>
          <w:rFonts w:ascii="Times New Roman" w:hAnsi="Times New Roman"/>
          <w:b w:val="0"/>
          <w:i/>
          <w:color w:val="1B4F46"/>
          <w:sz w:val="24"/>
          <w:spacing w:val="0"/>
        </w:rPr>
        <w:t>Build early awareness that people have many roles, interests, strengths, responsibilities, and ways to contribute.</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learn that adults and community members do many different kinds of work and service.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name personal interests, strengths, classroom responsibilities, and things they are learning to do.</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connect classroom learning to home, community helpers, tools, places, and real-life problem solving.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practice early goal setting, asking for help, making choices, persistence, and reflection.</w:t>
            </w:r>
          </w:p>
          <w:p>
            <w:pPr>
              <w:spacing w:before="100" w:after="0" w:line="259" w:lineRule="auto"/>
            </w:pPr>
            <w:r>
              <w:rPr>
                <w:rFonts w:ascii="Times New Roman" w:hAnsi="Times New Roman"/>
                <w:b/>
                <w:i w:val="0"/>
                <w:color w:val="1B4F46"/>
                <w:sz w:val="24"/>
                <w:spacing w:val="0"/>
              </w:rPr>
              <w:t xml:space="preserve">Resource: </w:t>
            </w:r>
            <w:hyperlink r:id="rId9">
              <w:r>
                <w:rPr>
                  <w:rFonts w:ascii="Times New Roman" w:hAnsi="Times New Roman"/>
                  <w:sz w:val="24"/>
                  <w:color w:val="1F4E79"/>
                  <w:u w:val="single"/>
                </w:rPr>
                <w:t>Battelle for Kids: Early Learning Framework</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simple pathway language such as interests, strengths, goals, helpers, community, responsibility, and contribution.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Avoid asking young students to choose careers; focus instead on exposure, curiosity, confidence, and contribution.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Invite stories, visitors, role-play, classroom jobs, and family connections that show many ways people contribute.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Communicate to families how early habits and interests support later direction and readiness.</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Battelle for Kids: Early Learning Framework</w:t>
              </w:r>
            </w:hyperlink>
            <w:r>
              <w:rPr>
                <w:rFonts w:ascii="Times New Roman" w:hAnsi="Times New Roman"/>
                <w:b w:val="0"/>
                <w:i w:val="0"/>
                <w:color w:val="0E2243"/>
                <w:sz w:val="24"/>
                <w:spacing w:val="0"/>
              </w:rPr>
              <w:t xml:space="preserve">; </w:t>
            </w:r>
            <w:hyperlink r:id="rId10">
              <w:r>
                <w:rPr>
                  <w:rFonts w:ascii="Times New Roman" w:hAnsi="Times New Roman"/>
                  <w:sz w:val="24"/>
                  <w:color w:val="1F4E79"/>
                  <w:u w:val="single"/>
                </w:rPr>
                <w:t>Pennsylvania Career Ready Skills Toolkit</w:t>
              </w:r>
            </w:hyperlink>
            <w:r>
              <w:rPr>
                <w:rFonts w:ascii="Times New Roman" w:hAnsi="Times New Roman"/>
                <w:b w:val="0"/>
                <w:i w:val="0"/>
                <w:color w:val="0E2243"/>
                <w:sz w:val="24"/>
                <w:spacing w:val="0"/>
              </w:rPr>
              <w:t xml:space="preserve">; </w:t>
            </w:r>
            <w:hyperlink r:id="rId11">
              <w:r>
                <w:rPr>
                  <w:rFonts w:ascii="Times New Roman" w:hAnsi="Times New Roman"/>
                  <w:sz w:val="24"/>
                  <w:color w:val="1F4E79"/>
                  <w:u w:val="single"/>
                </w:rPr>
                <w:t>ASCA Mindsets and Behaviors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K-2 career and community awareness routine.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strengths, interests, and responsibility reflection used several times each year.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Classroom connections between learning, helpers, tools, community needs, and real-life uses.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Family communication that explains early pathway language in developmentally appropriate terms.</w:t>
            </w:r>
          </w:p>
          <w:p>
            <w:pPr>
              <w:spacing w:before="100" w:after="0" w:line="259" w:lineRule="auto"/>
            </w:pPr>
            <w:r>
              <w:rPr>
                <w:rFonts w:ascii="Times New Roman" w:hAnsi="Times New Roman"/>
                <w:b/>
                <w:i w:val="0"/>
                <w:color w:val="1B4F46"/>
                <w:sz w:val="24"/>
                <w:spacing w:val="0"/>
              </w:rPr>
              <w:t xml:space="preserve">Resources: </w:t>
            </w:r>
            <w:hyperlink r:id="rId9">
              <w:r>
                <w:rPr>
                  <w:rFonts w:ascii="Times New Roman" w:hAnsi="Times New Roman"/>
                  <w:sz w:val="24"/>
                  <w:color w:val="1F4E79"/>
                  <w:u w:val="single"/>
                </w:rPr>
                <w:t>Battelle for Kids: Early Learning Framework</w:t>
              </w:r>
            </w:hyperlink>
            <w:r>
              <w:rPr>
                <w:rFonts w:ascii="Times New Roman" w:hAnsi="Times New Roman"/>
                <w:b w:val="0"/>
                <w:i w:val="0"/>
                <w:color w:val="0E2243"/>
                <w:sz w:val="24"/>
                <w:spacing w:val="0"/>
              </w:rPr>
              <w:t xml:space="preserve">; </w:t>
            </w:r>
            <w:hyperlink r:id="rId12">
              <w:r>
                <w:rPr>
                  <w:rFonts w:ascii="Times New Roman" w:hAnsi="Times New Roman"/>
                  <w:sz w:val="24"/>
                  <w:color w:val="1F4E79"/>
                  <w:u w:val="single"/>
                </w:rPr>
                <w:t>Kuder: Elementary Career Awareness Strategies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Community helpers and contributors project: students identify people who help the community and explain what tools, skills, or habits they use.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My strengths and interests drawing: students draw something they enjoy, something they are learning, and one way they contribute.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Classroom role rotation: students practice responsibility through simple jobs and reflect on how the role helped others.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Learning-to-life connection: after a lesson, students name where someone might use that learning outside school.</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Family interview: students ask a family member or trusted adult about a job, role, hobby, or responsibility and share one idea they learned.</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Kuder: Elementary Career Awareness Strategies</w:t>
              </w:r>
            </w:hyperlink>
            <w:r>
              <w:rPr>
                <w:rFonts w:ascii="Times New Roman" w:hAnsi="Times New Roman"/>
                <w:b w:val="0"/>
                <w:i w:val="0"/>
                <w:color w:val="0E2243"/>
                <w:sz w:val="24"/>
                <w:spacing w:val="0"/>
              </w:rPr>
              <w:t xml:space="preserve">; </w:t>
            </w:r>
            <w:hyperlink r:id="rId13">
              <w:r>
                <w:rPr>
                  <w:rFonts w:ascii="Times New Roman" w:hAnsi="Times New Roman"/>
                  <w:sz w:val="24"/>
                  <w:color w:val="1F4E79"/>
                  <w:u w:val="single"/>
                </w:rPr>
                <w:t>CareerOneStop Career Videos</w:t>
              </w:r>
            </w:hyperlink>
            <w:r>
              <w:rPr>
                <w:rFonts w:ascii="Times New Roman" w:hAnsi="Times New Roman"/>
                <w:b w:val="0"/>
                <w:i w:val="0"/>
                <w:color w:val="0E2243"/>
                <w:sz w:val="24"/>
                <w:spacing w:val="0"/>
              </w:rPr>
              <w:t xml:space="preserve">; </w:t>
            </w:r>
            <w:hyperlink r:id="rId14">
              <w:r>
                <w:rPr>
                  <w:rFonts w:ascii="Times New Roman" w:hAnsi="Times New Roman"/>
                  <w:sz w:val="24"/>
                  <w:color w:val="1F4E79"/>
                  <w:u w:val="single"/>
                </w:rPr>
                <w:t>NAEYC: Using Blocks to Develop 21st Century Skills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drawings, reflections, interviews, classroom job reflections, or teacher observation notes.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Examples of lessons that connect learning to people, community, tools, and real-life use.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Family communication samples about strengths, interests, responsibility, and early future awareness.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Teacher evidence that common pathway language is used across classrooms.</w:t>
            </w:r>
          </w:p>
          <w:p>
            <w:pPr>
              <w:spacing w:before="100" w:after="0" w:line="259" w:lineRule="auto"/>
            </w:pPr>
            <w:r>
              <w:rPr>
                <w:rFonts w:ascii="Times New Roman" w:hAnsi="Times New Roman"/>
                <w:b/>
                <w:i w:val="0"/>
                <w:color w:val="1B4F46"/>
                <w:sz w:val="24"/>
                <w:spacing w:val="0"/>
              </w:rPr>
              <w:t xml:space="preserve">Resource: </w:t>
            </w:r>
            <w:hyperlink r:id="rId11">
              <w:r>
                <w:rPr>
                  <w:rFonts w:ascii="Times New Roman" w:hAnsi="Times New Roman"/>
                  <w:sz w:val="24"/>
                  <w:color w:val="1F4E79"/>
                  <w:u w:val="single"/>
                </w:rPr>
                <w:t>ASCA Mindsets and Behaviors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K-2 pathway awareness routine map.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shared set of early pathway words for students and families.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At least one grade-level example of a community, helper, interest, or contribution activity.</w:t>
            </w:r>
          </w:p>
          <w:p>
            <w:pPr>
              <w:spacing w:before="100" w:after="0" w:line="259" w:lineRule="auto"/>
            </w:pPr>
            <w:r>
              <w:rPr>
                <w:rFonts w:ascii="Times New Roman" w:hAnsi="Times New Roman"/>
                <w:b/>
                <w:i w:val="0"/>
                <w:color w:val="1B4F46"/>
                <w:sz w:val="24"/>
                <w:spacing w:val="0"/>
              </w:rPr>
              <w:t xml:space="preserve">Resource: </w:t>
            </w:r>
            <w:hyperlink r:id="rId9">
              <w:r>
                <w:rPr>
                  <w:rFonts w:ascii="Times New Roman" w:hAnsi="Times New Roman"/>
                  <w:sz w:val="24"/>
                  <w:color w:val="1F4E79"/>
                  <w:u w:val="single"/>
                </w:rPr>
                <w:t>Battelle for Kids: Early Learning Framework</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K-2: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3-5</w:t>
      </w:r>
    </w:p>
    <w:p>
      <w:pPr>
        <w:spacing w:before="0" w:after="100" w:line="259" w:lineRule="auto"/>
      </w:pPr>
      <w:r>
        <w:rPr>
          <w:rFonts w:ascii="Times New Roman" w:hAnsi="Times New Roman"/>
          <w:b w:val="0"/>
          <w:i/>
          <w:color w:val="1B4F46"/>
          <w:sz w:val="24"/>
          <w:spacing w:val="0"/>
        </w:rPr>
        <w:t>Help students connect interests, strengths, learning habits, community needs, and broad future possibilities.</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explore broad career fields, community roles, hobbies, strengths, and interests without narrowing future options too early.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complete projects that connect academic learning to local issues, community needs, products, services, or audiences.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practice communication, collaboration, goal setting, responsibility, and reflection as part of future-direction development.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begin to understand how school experiences, habits, and choices can expand future possibilities.</w:t>
            </w:r>
          </w:p>
          <w:p>
            <w:pPr>
              <w:spacing w:before="100" w:after="0" w:line="259" w:lineRule="auto"/>
            </w:pPr>
            <w:r>
              <w:rPr>
                <w:rFonts w:ascii="Times New Roman" w:hAnsi="Times New Roman"/>
                <w:b/>
                <w:i w:val="0"/>
                <w:color w:val="1B4F46"/>
                <w:sz w:val="24"/>
                <w:spacing w:val="0"/>
              </w:rPr>
              <w:t xml:space="preserve">Resources: </w:t>
            </w:r>
            <w:hyperlink r:id="rId15">
              <w:r>
                <w:rPr>
                  <w:rFonts w:ascii="Times New Roman" w:hAnsi="Times New Roman"/>
                  <w:sz w:val="24"/>
                  <w:color w:val="1F4E79"/>
                  <w:u w:val="single"/>
                </w:rPr>
                <w:t>CareerOneStop: Explore Careers</w:t>
              </w:r>
            </w:hyperlink>
            <w:r>
              <w:rPr>
                <w:rFonts w:ascii="Times New Roman" w:hAnsi="Times New Roman"/>
                <w:b w:val="0"/>
                <w:i w:val="0"/>
                <w:color w:val="0E2243"/>
                <w:sz w:val="24"/>
                <w:spacing w:val="0"/>
              </w:rPr>
              <w:t xml:space="preserve">; </w:t>
            </w:r>
            <w:hyperlink r:id="rId12">
              <w:r>
                <w:rPr>
                  <w:rFonts w:ascii="Times New Roman" w:hAnsi="Times New Roman"/>
                  <w:sz w:val="24"/>
                  <w:color w:val="1F4E79"/>
                  <w:u w:val="single"/>
                </w:rPr>
                <w:t>Kuder: Elementary Career Awareness Strategies</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Project Zero: Thinking Routines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Teach students to describe interests, strengths, responsibilities, and learning habits using common language.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Connect subjects to real-world roles, community problems, products, services, and career fields.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projects and reflection routines that help students explain what they tried, learned, improved, and contributed.</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Monitor whether all students have access to exploration, leadership, communication, and project experiences.</w:t>
            </w:r>
          </w:p>
          <w:p>
            <w:pPr>
              <w:spacing w:before="100" w:after="0" w:line="259" w:lineRule="auto"/>
            </w:pPr>
            <w:r>
              <w:rPr>
                <w:rFonts w:ascii="Times New Roman" w:hAnsi="Times New Roman"/>
                <w:b/>
                <w:i w:val="0"/>
                <w:color w:val="1B4F46"/>
                <w:sz w:val="24"/>
                <w:spacing w:val="0"/>
              </w:rPr>
              <w:t xml:space="preserve">Resources: </w:t>
            </w:r>
            <w:hyperlink r:id="rId10">
              <w:r>
                <w:rPr>
                  <w:rFonts w:ascii="Times New Roman" w:hAnsi="Times New Roman"/>
                  <w:sz w:val="24"/>
                  <w:color w:val="1F4E79"/>
                  <w:u w:val="single"/>
                </w:rPr>
                <w:t>Pennsylvania Career Ready Skills Toolkit</w:t>
              </w:r>
            </w:hyperlink>
            <w:r>
              <w:rPr>
                <w:rFonts w:ascii="Times New Roman" w:hAnsi="Times New Roman"/>
                <w:b w:val="0"/>
                <w:i w:val="0"/>
                <w:color w:val="0E2243"/>
                <w:sz w:val="24"/>
                <w:spacing w:val="0"/>
              </w:rPr>
              <w:t xml:space="preserve">; </w:t>
            </w:r>
            <w:hyperlink r:id="rId11">
              <w:r>
                <w:rPr>
                  <w:rFonts w:ascii="Times New Roman" w:hAnsi="Times New Roman"/>
                  <w:sz w:val="24"/>
                  <w:color w:val="1F4E79"/>
                  <w:u w:val="single"/>
                </w:rPr>
                <w:t>ASCA Mindsets and Behaviors</w:t>
              </w:r>
            </w:hyperlink>
            <w:r>
              <w:rPr>
                <w:rFonts w:ascii="Times New Roman" w:hAnsi="Times New Roman"/>
                <w:b w:val="0"/>
                <w:i w:val="0"/>
                <w:color w:val="0E2243"/>
                <w:sz w:val="24"/>
                <w:spacing w:val="0"/>
              </w:rPr>
              <w:t xml:space="preserve">; </w:t>
            </w:r>
            <w:hyperlink r:id="rId16">
              <w:r>
                <w:rPr>
                  <w:rFonts w:ascii="Times New Roman" w:hAnsi="Times New Roman"/>
                  <w:sz w:val="24"/>
                  <w:color w:val="1F4E79"/>
                  <w:u w:val="single"/>
                </w:rPr>
                <w:t>Project Zero: Thinking Routines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3-5 strengths, interests, and future-possibilities reflection process.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broad career and community exploration sequence tied to projects and classroom learning.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goal-setting and responsibility routine that helps students practice ownership over learning.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sharing pathway language and project examples with families.</w:t>
            </w:r>
          </w:p>
          <w:p>
            <w:pPr>
              <w:spacing w:before="100" w:after="0" w:line="259" w:lineRule="auto"/>
            </w:pPr>
            <w:r>
              <w:rPr>
                <w:rFonts w:ascii="Times New Roman" w:hAnsi="Times New Roman"/>
                <w:b/>
                <w:i w:val="0"/>
                <w:color w:val="1B4F46"/>
                <w:sz w:val="24"/>
                <w:spacing w:val="0"/>
              </w:rPr>
              <w:t xml:space="preserve">Resources: </w:t>
            </w:r>
            <w:hyperlink r:id="rId15">
              <w:r>
                <w:rPr>
                  <w:rFonts w:ascii="Times New Roman" w:hAnsi="Times New Roman"/>
                  <w:sz w:val="24"/>
                  <w:color w:val="1F4E79"/>
                  <w:u w:val="single"/>
                </w:rPr>
                <w:t>CareerOneStop: Explore Careers</w:t>
              </w:r>
            </w:hyperlink>
            <w:r>
              <w:rPr>
                <w:rFonts w:ascii="Times New Roman" w:hAnsi="Times New Roman"/>
                <w:b w:val="0"/>
                <w:i w:val="0"/>
                <w:color w:val="0E2243"/>
                <w:sz w:val="24"/>
                <w:spacing w:val="0"/>
              </w:rPr>
              <w:t xml:space="preserve">; </w:t>
            </w:r>
            <w:hyperlink r:id="rId12">
              <w:r>
                <w:rPr>
                  <w:rFonts w:ascii="Times New Roman" w:hAnsi="Times New Roman"/>
                  <w:sz w:val="24"/>
                  <w:color w:val="1F4E79"/>
                  <w:u w:val="single"/>
                </w:rPr>
                <w:t>Kuder: Elementary Career Awareness Strategies</w:t>
              </w:r>
            </w:hyperlink>
            <w:r>
              <w:rPr>
                <w:rFonts w:ascii="Times New Roman" w:hAnsi="Times New Roman"/>
                <w:b w:val="0"/>
                <w:i w:val="0"/>
                <w:color w:val="0E2243"/>
                <w:sz w:val="24"/>
                <w:spacing w:val="0"/>
              </w:rPr>
              <w:t xml:space="preserve">; </w:t>
            </w:r>
            <w:hyperlink r:id="rId17">
              <w:r>
                <w:rPr>
                  <w:rFonts w:ascii="Times New Roman" w:hAnsi="Times New Roman"/>
                  <w:sz w:val="24"/>
                  <w:color w:val="1F4E79"/>
                  <w:u w:val="single"/>
                </w:rPr>
                <w:t>Common Sense Education: Digital Literacy and Well-Being</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Career field connection wall: students connect units of study to broad fields such as health, design, technology, public service, business, education, agriculture, or skilled trades.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Community problem project: students investigate a local need and propose a product, service, campaign, or solution for a real audience.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Interest-to-learning reflection: students explain how a personal interest connects to a school skill, career field, or community contribution.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Student-led goal conference: students share a goal, progress evidence, support need, and next step with an adult or family member.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Budget and choice simulation: students make simple spending, saving, and tradeoff decisions connected to a classroom project or real-life scenario.</w:t>
            </w:r>
          </w:p>
          <w:p>
            <w:pPr>
              <w:spacing w:before="100" w:after="0" w:line="259" w:lineRule="auto"/>
            </w:pPr>
            <w:r>
              <w:rPr>
                <w:rFonts w:ascii="Times New Roman" w:hAnsi="Times New Roman"/>
                <w:b/>
                <w:i w:val="0"/>
                <w:color w:val="1B4F46"/>
                <w:sz w:val="24"/>
                <w:spacing w:val="0"/>
              </w:rPr>
              <w:t xml:space="preserve">Resources: </w:t>
            </w:r>
            <w:hyperlink r:id="rId12">
              <w:r>
                <w:rPr>
                  <w:rFonts w:ascii="Times New Roman" w:hAnsi="Times New Roman"/>
                  <w:sz w:val="24"/>
                  <w:color w:val="1F4E79"/>
                  <w:u w:val="single"/>
                </w:rPr>
                <w:t>Kuder: Elementary Career Awareness Strategies</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EL Education: Models of Excellence</w:t>
              </w:r>
            </w:hyperlink>
            <w:r>
              <w:rPr>
                <w:rFonts w:ascii="Times New Roman" w:hAnsi="Times New Roman"/>
                <w:b w:val="0"/>
                <w:i w:val="0"/>
                <w:color w:val="0E2243"/>
                <w:sz w:val="24"/>
                <w:spacing w:val="0"/>
              </w:rPr>
              <w:t xml:space="preserve">; </w:t>
            </w:r>
            <w:hyperlink r:id="rId19">
              <w:r>
                <w:rPr>
                  <w:rFonts w:ascii="Times New Roman" w:hAnsi="Times New Roman"/>
                  <w:sz w:val="24"/>
                  <w:color w:val="1F4E79"/>
                  <w:u w:val="single"/>
                </w:rPr>
                <w:t>EconEdLink: Money Comes and Goes</w:t>
              </w:r>
            </w:hyperlink>
            <w:r>
              <w:rPr>
                <w:rFonts w:ascii="Times New Roman" w:hAnsi="Times New Roman"/>
                <w:b w:val="0"/>
                <w:i w:val="0"/>
                <w:color w:val="0E2243"/>
                <w:sz w:val="24"/>
                <w:spacing w:val="0"/>
              </w:rPr>
              <w:t xml:space="preserve">; </w:t>
            </w:r>
            <w:hyperlink r:id="rId13">
              <w:r>
                <w:rPr>
                  <w:rFonts w:ascii="Times New Roman" w:hAnsi="Times New Roman"/>
                  <w:sz w:val="24"/>
                  <w:color w:val="1F4E79"/>
                  <w:u w:val="single"/>
                </w:rPr>
                <w:t>CareerOneStop Career Videos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 reflections about strengths, interests, goals, habits, and future possibilities.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Project artifacts connected to community problems, audience needs, products, services, or career fields.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Participation evidence showing access to exploration, leadership, presentation, and project roles.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Family communication samples and student-led conference artifacts.</w:t>
            </w:r>
          </w:p>
          <w:p>
            <w:pPr>
              <w:spacing w:before="100" w:after="0" w:line="259" w:lineRule="auto"/>
            </w:pPr>
            <w:r>
              <w:rPr>
                <w:rFonts w:ascii="Times New Roman" w:hAnsi="Times New Roman"/>
                <w:b/>
                <w:i w:val="0"/>
                <w:color w:val="1B4F46"/>
                <w:sz w:val="24"/>
                <w:spacing w:val="0"/>
              </w:rPr>
              <w:t xml:space="preserve">Resources: </w:t>
            </w:r>
            <w:hyperlink r:id="rId11">
              <w:r>
                <w:rPr>
                  <w:rFonts w:ascii="Times New Roman" w:hAnsi="Times New Roman"/>
                  <w:sz w:val="24"/>
                  <w:color w:val="1F4E79"/>
                  <w:u w:val="single"/>
                </w:rPr>
                <w:t>ASCA Mindsets and Behaviors</w:t>
              </w:r>
            </w:hyperlink>
            <w:r>
              <w:rPr>
                <w:rFonts w:ascii="Times New Roman" w:hAnsi="Times New Roman"/>
                <w:b w:val="0"/>
                <w:i w:val="0"/>
                <w:color w:val="0E2243"/>
                <w:sz w:val="24"/>
                <w:spacing w:val="0"/>
              </w:rPr>
              <w:t xml:space="preserve">; </w:t>
            </w:r>
            <w:hyperlink r:id="rId18">
              <w:r>
                <w:rPr>
                  <w:rFonts w:ascii="Times New Roman" w:hAnsi="Times New Roman"/>
                  <w:sz w:val="24"/>
                  <w:color w:val="1F4E79"/>
                  <w:u w:val="single"/>
                </w:rPr>
                <w:t>EL Education: Models of Excellence</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3-5 pathway awareness and project-experience map.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common reflection tool for strengths, interests, goals, and future connections.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plan for monitoring access to exploration, project roles, communication opportunities, and family engagement.</w:t>
            </w:r>
          </w:p>
          <w:p>
            <w:pPr>
              <w:spacing w:before="100" w:after="0" w:line="259" w:lineRule="auto"/>
            </w:pPr>
            <w:r>
              <w:rPr>
                <w:rFonts w:ascii="Times New Roman" w:hAnsi="Times New Roman"/>
                <w:b/>
                <w:i w:val="0"/>
                <w:color w:val="1B4F46"/>
                <w:sz w:val="24"/>
                <w:spacing w:val="0"/>
              </w:rPr>
              <w:t xml:space="preserve">Resources: </w:t>
            </w:r>
            <w:hyperlink r:id="rId15">
              <w:r>
                <w:rPr>
                  <w:rFonts w:ascii="Times New Roman" w:hAnsi="Times New Roman"/>
                  <w:sz w:val="24"/>
                  <w:color w:val="1F4E79"/>
                  <w:u w:val="single"/>
                </w:rPr>
                <w:t>CareerOneStop: Explore Careers</w:t>
              </w:r>
            </w:hyperlink>
            <w:r>
              <w:rPr>
                <w:rFonts w:ascii="Times New Roman" w:hAnsi="Times New Roman"/>
                <w:b w:val="0"/>
                <w:i w:val="0"/>
                <w:color w:val="0E2243"/>
                <w:sz w:val="24"/>
                <w:spacing w:val="0"/>
              </w:rPr>
              <w:t xml:space="preserve">; </w:t>
            </w:r>
            <w:hyperlink r:id="rId11">
              <w:r>
                <w:rPr>
                  <w:rFonts w:ascii="Times New Roman" w:hAnsi="Times New Roman"/>
                  <w:sz w:val="24"/>
                  <w:color w:val="1F4E79"/>
                  <w:u w:val="single"/>
                </w:rPr>
                <w:t>ASCA Mindsets and Behaviors</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3-5: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6-8</w:t>
      </w:r>
    </w:p>
    <w:p>
      <w:pPr>
        <w:spacing w:before="0" w:after="100" w:line="259" w:lineRule="auto"/>
      </w:pPr>
      <w:r>
        <w:rPr>
          <w:rFonts w:ascii="Times New Roman" w:hAnsi="Times New Roman"/>
          <w:b w:val="0"/>
          <w:i/>
          <w:color w:val="1B4F46"/>
          <w:sz w:val="24"/>
          <w:spacing w:val="0"/>
        </w:rPr>
        <w:t>Move students from broad awareness to structured exploration, early identity development, and informed high school planning.</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explore career clusters, interests, strengths, work values, personal motivations, and multiple future options.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complete inventories, career research, pathway presentations, service learning, job-shadow preparation, or career-connected projects.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practice self-advocacy, goal setting, professional communication, schedule management, and support-seeking.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understand how middle-level choices, habits, relationships, and learning experiences connect to high school opportunities.</w:t>
            </w:r>
          </w:p>
          <w:p>
            <w:pPr>
              <w:spacing w:before="100" w:after="0" w:line="259" w:lineRule="auto"/>
            </w:pPr>
            <w:r>
              <w:rPr>
                <w:rFonts w:ascii="Times New Roman" w:hAnsi="Times New Roman"/>
                <w:b/>
                <w:i w:val="0"/>
                <w:color w:val="1B4F46"/>
                <w:sz w:val="24"/>
                <w:spacing w:val="0"/>
              </w:rPr>
              <w:t xml:space="preserve">Resources: </w:t>
            </w:r>
            <w:hyperlink r:id="rId20">
              <w:r>
                <w:rPr>
                  <w:rFonts w:ascii="Times New Roman" w:hAnsi="Times New Roman"/>
                  <w:sz w:val="24"/>
                  <w:color w:val="1F4E79"/>
                  <w:u w:val="single"/>
                </w:rPr>
                <w:t>Advance CTE: National Career Clusters Framework</w:t>
              </w:r>
            </w:hyperlink>
            <w:r>
              <w:rPr>
                <w:rFonts w:ascii="Times New Roman" w:hAnsi="Times New Roman"/>
                <w:b w:val="0"/>
                <w:i w:val="0"/>
                <w:color w:val="0E2243"/>
                <w:sz w:val="24"/>
                <w:spacing w:val="0"/>
              </w:rPr>
              <w:t xml:space="preserve">; </w:t>
            </w:r>
            <w:hyperlink r:id="rId21">
              <w:r>
                <w:rPr>
                  <w:rFonts w:ascii="Times New Roman" w:hAnsi="Times New Roman"/>
                  <w:sz w:val="24"/>
                  <w:color w:val="1F4E79"/>
                  <w:u w:val="single"/>
                </w:rPr>
                <w:t>My Next Move: O*NET Interest Profiler</w:t>
              </w:r>
            </w:hyperlink>
            <w:r>
              <w:rPr>
                <w:rFonts w:ascii="Times New Roman" w:hAnsi="Times New Roman"/>
                <w:b w:val="0"/>
                <w:i w:val="0"/>
                <w:color w:val="0E2243"/>
                <w:sz w:val="24"/>
                <w:spacing w:val="0"/>
              </w:rPr>
              <w:t xml:space="preserve">; </w:t>
            </w:r>
            <w:hyperlink r:id="rId15">
              <w:r>
                <w:rPr>
                  <w:rFonts w:ascii="Times New Roman" w:hAnsi="Times New Roman"/>
                  <w:sz w:val="24"/>
                  <w:color w:val="1F4E79"/>
                  <w:u w:val="single"/>
                </w:rPr>
                <w:t>CareerOneStop: Explore Careers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Provide consistent advisory, counseling, or classroom routines for career exploration, goal setting, and self-advocacy.</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Help students interpret interest inventories and career information without turning results into fixed labels.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Connect students and families to high school course options, CTE, extracurriculars, support systems, and pathway opportunities.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Monitor which students are missing exploration, advising, leadership, service, or future-planning experiences.</w:t>
            </w:r>
          </w:p>
          <w:p>
            <w:pPr>
              <w:spacing w:before="100" w:after="0" w:line="259" w:lineRule="auto"/>
            </w:pPr>
            <w:r>
              <w:rPr>
                <w:rFonts w:ascii="Times New Roman" w:hAnsi="Times New Roman"/>
                <w:b/>
                <w:i w:val="0"/>
                <w:color w:val="1B4F46"/>
                <w:sz w:val="24"/>
                <w:spacing w:val="0"/>
              </w:rPr>
              <w:t xml:space="preserve">Resources: </w:t>
            </w:r>
            <w:hyperlink r:id="rId10">
              <w:r>
                <w:rPr>
                  <w:rFonts w:ascii="Times New Roman" w:hAnsi="Times New Roman"/>
                  <w:sz w:val="24"/>
                  <w:color w:val="1F4E79"/>
                  <w:u w:val="single"/>
                </w:rPr>
                <w:t>Pennsylvania Career Ready Skills Toolkit</w:t>
              </w:r>
            </w:hyperlink>
            <w:r>
              <w:rPr>
                <w:rFonts w:ascii="Times New Roman" w:hAnsi="Times New Roman"/>
                <w:b w:val="0"/>
                <w:i w:val="0"/>
                <w:color w:val="0E2243"/>
                <w:sz w:val="24"/>
                <w:spacing w:val="0"/>
              </w:rPr>
              <w:t xml:space="preserve">; </w:t>
            </w:r>
            <w:hyperlink r:id="rId11">
              <w:r>
                <w:rPr>
                  <w:rFonts w:ascii="Times New Roman" w:hAnsi="Times New Roman"/>
                  <w:sz w:val="24"/>
                  <w:color w:val="1F4E79"/>
                  <w:u w:val="single"/>
                </w:rPr>
                <w:t>ASCA Mindsets and Behaviors</w:t>
              </w:r>
            </w:hyperlink>
            <w:r>
              <w:rPr>
                <w:rFonts w:ascii="Times New Roman" w:hAnsi="Times New Roman"/>
                <w:b w:val="0"/>
                <w:i w:val="0"/>
                <w:color w:val="0E2243"/>
                <w:sz w:val="24"/>
                <w:spacing w:val="0"/>
              </w:rPr>
              <w:t xml:space="preserve">; </w:t>
            </w:r>
            <w:hyperlink r:id="rId22">
              <w:r>
                <w:rPr>
                  <w:rFonts w:ascii="Times New Roman" w:hAnsi="Times New Roman"/>
                  <w:sz w:val="24"/>
                  <w:color w:val="1F4E79"/>
                  <w:u w:val="single"/>
                </w:rPr>
                <w:t>O*NET OnLine: My Next Move Help</w:t>
              </w:r>
            </w:hyperlink>
            <w:r>
              <w:rPr>
                <w:rFonts w:ascii="Times New Roman" w:hAnsi="Times New Roman"/>
                <w:b w:val="0"/>
                <w:i w:val="0"/>
                <w:color w:val="0E2243"/>
                <w:sz w:val="24"/>
                <w:spacing w:val="0"/>
              </w:rPr>
              <w:t xml:space="preserve">; </w:t>
            </w:r>
            <w:hyperlink r:id="rId23">
              <w:r>
                <w:rPr>
                  <w:rFonts w:ascii="Times New Roman" w:hAnsi="Times New Roman"/>
                  <w:sz w:val="24"/>
                  <w:color w:val="1F4E79"/>
                  <w:u w:val="single"/>
                </w:rPr>
                <w:t>Ohio Career Connections Framework</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6-8 career exploration sequence using interests, strengths, work values, career clusters, and student reflection.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student portfolio or reflection process that captures goals, artifacts, exploration results, strengths, and future questions.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high school transition routine connected to course options, supports, activities, and pathway opportunities.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identifying students who need more exposure, advising, self-advocacy support, or family communication.</w:t>
            </w:r>
          </w:p>
          <w:p>
            <w:pPr>
              <w:spacing w:before="100" w:after="0" w:line="259" w:lineRule="auto"/>
            </w:pPr>
            <w:r>
              <w:rPr>
                <w:rFonts w:ascii="Times New Roman" w:hAnsi="Times New Roman"/>
                <w:b/>
                <w:i w:val="0"/>
                <w:color w:val="1B4F46"/>
                <w:sz w:val="24"/>
                <w:spacing w:val="0"/>
              </w:rPr>
              <w:t xml:space="preserve">Resources: </w:t>
            </w:r>
            <w:hyperlink r:id="rId23">
              <w:r>
                <w:rPr>
                  <w:rFonts w:ascii="Times New Roman" w:hAnsi="Times New Roman"/>
                  <w:sz w:val="24"/>
                  <w:color w:val="1F4E79"/>
                  <w:u w:val="single"/>
                </w:rPr>
                <w:t>Ohio Career Connections Framework</w:t>
              </w:r>
            </w:hyperlink>
            <w:r>
              <w:rPr>
                <w:rFonts w:ascii="Times New Roman" w:hAnsi="Times New Roman"/>
                <w:b w:val="0"/>
                <w:i w:val="0"/>
                <w:color w:val="0E2243"/>
                <w:sz w:val="24"/>
                <w:spacing w:val="0"/>
              </w:rPr>
              <w:t xml:space="preserve">; </w:t>
            </w:r>
            <w:hyperlink r:id="rId24">
              <w:r>
                <w:rPr>
                  <w:rFonts w:ascii="Times New Roman" w:hAnsi="Times New Roman"/>
                  <w:sz w:val="24"/>
                  <w:color w:val="1F4E79"/>
                  <w:u w:val="single"/>
                </w:rPr>
                <w:t>CareerOneStop: Interest Assessment</w:t>
              </w:r>
            </w:hyperlink>
            <w:r>
              <w:rPr>
                <w:rFonts w:ascii="Times New Roman" w:hAnsi="Times New Roman"/>
                <w:b w:val="0"/>
                <w:i w:val="0"/>
                <w:color w:val="0E2243"/>
                <w:sz w:val="24"/>
                <w:spacing w:val="0"/>
              </w:rPr>
              <w:t xml:space="preserve">; </w:t>
            </w:r>
            <w:hyperlink r:id="rId25">
              <w:r>
                <w:rPr>
                  <w:rFonts w:ascii="Times New Roman" w:hAnsi="Times New Roman"/>
                  <w:sz w:val="24"/>
                  <w:color w:val="1F4E79"/>
                  <w:u w:val="single"/>
                </w:rPr>
                <w:t>O*NET Career Exploration Tools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Interest inventory and career cluster reflection: students compare results with strengths, activities, values, and questions they want to explore.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Career research presentation: students investigate a career field, required education or training, skills, working conditions, pay range, and community value.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High school pathway preview: students map possible courses, CTE options, activities, supports, and questions for grade 9 planning.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Professional communication practice: students write a clear email to a mentor, counselor, teacher, or community partner.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Quarterly self-advocacy conference: students review goals, grades, activities, stressors, support needs, and next actions with an advisor.</w:t>
            </w:r>
          </w:p>
          <w:p>
            <w:pPr>
              <w:spacing w:before="100" w:after="0" w:line="259" w:lineRule="auto"/>
            </w:pPr>
            <w:r>
              <w:rPr>
                <w:rFonts w:ascii="Times New Roman" w:hAnsi="Times New Roman"/>
                <w:b/>
                <w:i w:val="0"/>
                <w:color w:val="1B4F46"/>
                <w:sz w:val="24"/>
                <w:spacing w:val="0"/>
              </w:rPr>
              <w:t xml:space="preserve">Resources: </w:t>
            </w:r>
            <w:hyperlink r:id="rId21">
              <w:r>
                <w:rPr>
                  <w:rFonts w:ascii="Times New Roman" w:hAnsi="Times New Roman"/>
                  <w:sz w:val="24"/>
                  <w:color w:val="1F4E79"/>
                  <w:u w:val="single"/>
                </w:rPr>
                <w:t>My Next Move: O*NET Interest Profiler</w:t>
              </w:r>
            </w:hyperlink>
            <w:r>
              <w:rPr>
                <w:rFonts w:ascii="Times New Roman" w:hAnsi="Times New Roman"/>
                <w:b w:val="0"/>
                <w:i w:val="0"/>
                <w:color w:val="0E2243"/>
                <w:sz w:val="24"/>
                <w:spacing w:val="0"/>
              </w:rPr>
              <w:t xml:space="preserve">; </w:t>
            </w:r>
            <w:hyperlink r:id="rId24">
              <w:r>
                <w:rPr>
                  <w:rFonts w:ascii="Times New Roman" w:hAnsi="Times New Roman"/>
                  <w:sz w:val="24"/>
                  <w:color w:val="1F4E79"/>
                  <w:u w:val="single"/>
                </w:rPr>
                <w:t>CareerOneStop: Interest Assessment</w:t>
              </w:r>
            </w:hyperlink>
            <w:r>
              <w:rPr>
                <w:rFonts w:ascii="Times New Roman" w:hAnsi="Times New Roman"/>
                <w:b w:val="0"/>
                <w:i w:val="0"/>
                <w:color w:val="0E2243"/>
                <w:sz w:val="24"/>
                <w:spacing w:val="0"/>
              </w:rPr>
              <w:t xml:space="preserve">; </w:t>
            </w:r>
            <w:hyperlink r:id="rId13">
              <w:r>
                <w:rPr>
                  <w:rFonts w:ascii="Times New Roman" w:hAnsi="Times New Roman"/>
                  <w:sz w:val="24"/>
                  <w:color w:val="1F4E79"/>
                  <w:u w:val="single"/>
                </w:rPr>
                <w:t>CareerOneStop Career Videos</w:t>
              </w:r>
            </w:hyperlink>
            <w:r>
              <w:rPr>
                <w:rFonts w:ascii="Times New Roman" w:hAnsi="Times New Roman"/>
                <w:b w:val="0"/>
                <w:i w:val="0"/>
                <w:color w:val="0E2243"/>
                <w:sz w:val="24"/>
                <w:spacing w:val="0"/>
              </w:rPr>
              <w:t xml:space="preserve">; </w:t>
            </w:r>
            <w:hyperlink r:id="rId26">
              <w:r>
                <w:rPr>
                  <w:rFonts w:ascii="Times New Roman" w:hAnsi="Times New Roman"/>
                  <w:sz w:val="24"/>
                  <w:color w:val="1F4E79"/>
                  <w:u w:val="single"/>
                </w:rPr>
                <w:t>Google Applied Digital Skills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Career inventory results, career research products, student reflections, and portfolio artifacts.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High school transition plans, course-interest surveys, family communication records, and advising notes.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Participation data for exploration, service, leadership, advising, and pathway presentations.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Evidence that students can explain interests, strengths, possible pathways, support needs, and next steps.</w:t>
            </w:r>
          </w:p>
          <w:p>
            <w:pPr>
              <w:spacing w:before="100" w:after="0" w:line="259" w:lineRule="auto"/>
            </w:pPr>
            <w:r>
              <w:rPr>
                <w:rFonts w:ascii="Times New Roman" w:hAnsi="Times New Roman"/>
                <w:b/>
                <w:i w:val="0"/>
                <w:color w:val="1B4F46"/>
                <w:sz w:val="24"/>
                <w:spacing w:val="0"/>
              </w:rPr>
              <w:t xml:space="preserve">Resources: </w:t>
            </w:r>
            <w:hyperlink r:id="rId11">
              <w:r>
                <w:rPr>
                  <w:rFonts w:ascii="Times New Roman" w:hAnsi="Times New Roman"/>
                  <w:sz w:val="24"/>
                  <w:color w:val="1F4E79"/>
                  <w:u w:val="single"/>
                </w:rPr>
                <w:t>ASCA Mindsets and Behaviors</w:t>
              </w:r>
            </w:hyperlink>
            <w:r>
              <w:rPr>
                <w:rFonts w:ascii="Times New Roman" w:hAnsi="Times New Roman"/>
                <w:b w:val="0"/>
                <w:i w:val="0"/>
                <w:color w:val="0E2243"/>
                <w:sz w:val="24"/>
                <w:spacing w:val="0"/>
              </w:rPr>
              <w:t xml:space="preserve">; </w:t>
            </w:r>
            <w:hyperlink r:id="rId23">
              <w:r>
                <w:rPr>
                  <w:rFonts w:ascii="Times New Roman" w:hAnsi="Times New Roman"/>
                  <w:sz w:val="24"/>
                  <w:color w:val="1F4E79"/>
                  <w:u w:val="single"/>
                </w:rPr>
                <w:t>Ohio Career Connections Framework</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6-8 career exploration and self-advocacy map.</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common student portfolio or pathway reflection process.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high school transition routine and family communication plan.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identifying students who need additional exploration, advising, or support.</w:t>
            </w:r>
          </w:p>
          <w:p>
            <w:pPr>
              <w:spacing w:before="100" w:after="0" w:line="259" w:lineRule="auto"/>
            </w:pPr>
            <w:r>
              <w:rPr>
                <w:rFonts w:ascii="Times New Roman" w:hAnsi="Times New Roman"/>
                <w:b/>
                <w:i w:val="0"/>
                <w:color w:val="1B4F46"/>
                <w:sz w:val="24"/>
                <w:spacing w:val="0"/>
              </w:rPr>
              <w:t xml:space="preserve">Resources: </w:t>
            </w:r>
            <w:hyperlink r:id="rId20">
              <w:r>
                <w:rPr>
                  <w:rFonts w:ascii="Times New Roman" w:hAnsi="Times New Roman"/>
                  <w:sz w:val="24"/>
                  <w:color w:val="1F4E79"/>
                  <w:u w:val="single"/>
                </w:rPr>
                <w:t>Advance CTE: National Career Clusters Framework</w:t>
              </w:r>
            </w:hyperlink>
            <w:r>
              <w:rPr>
                <w:rFonts w:ascii="Times New Roman" w:hAnsi="Times New Roman"/>
                <w:b w:val="0"/>
                <w:i w:val="0"/>
                <w:color w:val="0E2243"/>
                <w:sz w:val="24"/>
                <w:spacing w:val="0"/>
              </w:rPr>
              <w:t xml:space="preserve">; </w:t>
            </w:r>
            <w:hyperlink r:id="rId23">
              <w:r>
                <w:rPr>
                  <w:rFonts w:ascii="Times New Roman" w:hAnsi="Times New Roman"/>
                  <w:sz w:val="24"/>
                  <w:color w:val="1F4E79"/>
                  <w:u w:val="single"/>
                </w:rPr>
                <w:t>Ohio Career Connections Framework</w:t>
              </w:r>
            </w:hyperlink>
            <w:r>
              <w:rPr>
                <w:rFonts w:ascii="Times New Roman" w:hAnsi="Times New Roman"/>
                <w:b w:val="0"/>
                <w:i w:val="0"/>
                <w:color w:val="0E2243"/>
                <w:sz w:val="24"/>
                <w:spacing w:val="0"/>
              </w:rPr>
              <w:t xml:space="preserve">; </w:t>
            </w:r>
            <w:hyperlink r:id="rId15">
              <w:r>
                <w:rPr>
                  <w:rFonts w:ascii="Times New Roman" w:hAnsi="Times New Roman"/>
                  <w:sz w:val="24"/>
                  <w:color w:val="1F4E79"/>
                  <w:u w:val="single"/>
                </w:rPr>
                <w:t>CareerOneStop: Explore Careers</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6-8: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9-10</w:t>
      </w:r>
    </w:p>
    <w:p>
      <w:pPr>
        <w:spacing w:before="0" w:after="100" w:line="259" w:lineRule="auto"/>
      </w:pPr>
      <w:r>
        <w:rPr>
          <w:rFonts w:ascii="Times New Roman" w:hAnsi="Times New Roman"/>
          <w:b w:val="0"/>
          <w:i/>
          <w:color w:val="1B4F46"/>
          <w:sz w:val="24"/>
          <w:spacing w:val="0"/>
        </w:rPr>
        <w:t>Connect high school choices to pathway alignment, individual planning, early work-based learning, and postsecondary readiness.</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create and update an individual plan of study connected to courses, credits, GPA, career interests, pathway options, and support needs.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explore college, career school, apprenticeships, military, employment, entrepreneurship, and civic pathways as legitimate future options.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participate in career-connected coursework, CTE, job shadowing, informational interviews, technical projects, or early work-based learning exploration.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practice resume writing, professional communication, interview preparation, financial awareness, and goal revision.</w:t>
            </w:r>
          </w:p>
          <w:p>
            <w:pPr>
              <w:spacing w:before="100" w:after="0" w:line="259" w:lineRule="auto"/>
            </w:pPr>
            <w:r>
              <w:rPr>
                <w:rFonts w:ascii="Times New Roman" w:hAnsi="Times New Roman"/>
                <w:b/>
                <w:i w:val="0"/>
                <w:color w:val="1B4F46"/>
                <w:sz w:val="24"/>
                <w:spacing w:val="0"/>
              </w:rPr>
              <w:t xml:space="preserve">Resources: </w:t>
            </w:r>
            <w:hyperlink r:id="rId27">
              <w:r>
                <w:rPr>
                  <w:rFonts w:ascii="Times New Roman" w:hAnsi="Times New Roman"/>
                  <w:sz w:val="24"/>
                  <w:color w:val="1F4E79"/>
                  <w:u w:val="single"/>
                </w:rPr>
                <w:t>IES REL Central: Individual Plans of Study Tip Sheet</w:t>
              </w:r>
            </w:hyperlink>
            <w:r>
              <w:rPr>
                <w:rFonts w:ascii="Times New Roman" w:hAnsi="Times New Roman"/>
                <w:b w:val="0"/>
                <w:i w:val="0"/>
                <w:color w:val="0E2243"/>
                <w:sz w:val="24"/>
                <w:spacing w:val="0"/>
              </w:rPr>
              <w:t xml:space="preserve">; </w:t>
            </w:r>
            <w:hyperlink r:id="rId28">
              <w:r>
                <w:rPr>
                  <w:rFonts w:ascii="Times New Roman" w:hAnsi="Times New Roman"/>
                  <w:sz w:val="24"/>
                  <w:color w:val="1F4E79"/>
                  <w:u w:val="single"/>
                </w:rPr>
                <w:t>U.S. Department of Education: Career Pathways</w:t>
              </w:r>
            </w:hyperlink>
            <w:r>
              <w:rPr>
                <w:rFonts w:ascii="Times New Roman" w:hAnsi="Times New Roman"/>
                <w:b w:val="0"/>
                <w:i w:val="0"/>
                <w:color w:val="0E2243"/>
                <w:sz w:val="24"/>
                <w:spacing w:val="0"/>
              </w:rPr>
              <w:t xml:space="preserve">; </w:t>
            </w:r>
            <w:hyperlink r:id="rId15">
              <w:r>
                <w:rPr>
                  <w:rFonts w:ascii="Times New Roman" w:hAnsi="Times New Roman"/>
                  <w:sz w:val="24"/>
                  <w:color w:val="1F4E79"/>
                  <w:u w:val="single"/>
                </w:rPr>
                <w:t>CareerOneStop: Explore Careers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Provide structured advising so every student understands how grades 9-10 choices affect future pathways and grade 11-12 options.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Teach students to monitor credits, GPA, requirements, interests, costs, supports, and pathway milestones.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Engage families in understanding graduation requirements, course sequences, CTE, advanced coursework, financial planning, and support systems.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Monitor equitable access to advising, rigorous coursework, CTE, career-connected learning, and early postsecondary planning.</w:t>
            </w:r>
          </w:p>
          <w:p>
            <w:pPr>
              <w:spacing w:before="100" w:after="0" w:line="259" w:lineRule="auto"/>
            </w:pPr>
            <w:r>
              <w:rPr>
                <w:rFonts w:ascii="Times New Roman" w:hAnsi="Times New Roman"/>
                <w:b/>
                <w:i w:val="0"/>
                <w:color w:val="1B4F46"/>
                <w:sz w:val="24"/>
                <w:spacing w:val="0"/>
              </w:rPr>
              <w:t xml:space="preserve">Resources: </w:t>
            </w:r>
            <w:hyperlink r:id="rId27">
              <w:r>
                <w:rPr>
                  <w:rFonts w:ascii="Times New Roman" w:hAnsi="Times New Roman"/>
                  <w:sz w:val="24"/>
                  <w:color w:val="1F4E79"/>
                  <w:u w:val="single"/>
                </w:rPr>
                <w:t>IES REL Central: Individual Plans of Study Tip Sheet</w:t>
              </w:r>
            </w:hyperlink>
            <w:r>
              <w:rPr>
                <w:rFonts w:ascii="Times New Roman" w:hAnsi="Times New Roman"/>
                <w:b w:val="0"/>
                <w:i w:val="0"/>
                <w:color w:val="0E2243"/>
                <w:sz w:val="24"/>
                <w:spacing w:val="0"/>
              </w:rPr>
              <w:t xml:space="preserve">; </w:t>
            </w:r>
            <w:hyperlink r:id="rId10">
              <w:r>
                <w:rPr>
                  <w:rFonts w:ascii="Times New Roman" w:hAnsi="Times New Roman"/>
                  <w:sz w:val="24"/>
                  <w:color w:val="1F4E79"/>
                  <w:u w:val="single"/>
                </w:rPr>
                <w:t>Pennsylvania Career Ready Skills Toolkit</w:t>
              </w:r>
            </w:hyperlink>
            <w:r>
              <w:rPr>
                <w:rFonts w:ascii="Times New Roman" w:hAnsi="Times New Roman"/>
                <w:b w:val="0"/>
                <w:i w:val="0"/>
                <w:color w:val="0E2243"/>
                <w:sz w:val="24"/>
                <w:spacing w:val="0"/>
              </w:rPr>
              <w:t xml:space="preserve">; </w:t>
            </w:r>
            <w:hyperlink r:id="rId11">
              <w:r>
                <w:rPr>
                  <w:rFonts w:ascii="Times New Roman" w:hAnsi="Times New Roman"/>
                  <w:sz w:val="24"/>
                  <w:color w:val="1F4E79"/>
                  <w:u w:val="single"/>
                </w:rPr>
                <w:t>ASCA Mindsets and Behaviors</w:t>
              </w:r>
            </w:hyperlink>
            <w:r>
              <w:rPr>
                <w:rFonts w:ascii="Times New Roman" w:hAnsi="Times New Roman"/>
                <w:b w:val="0"/>
                <w:i w:val="0"/>
                <w:color w:val="0E2243"/>
                <w:sz w:val="24"/>
                <w:spacing w:val="0"/>
              </w:rPr>
              <w:t xml:space="preserve">; </w:t>
            </w:r>
            <w:hyperlink r:id="rId29">
              <w:r>
                <w:rPr>
                  <w:rFonts w:ascii="Times New Roman" w:hAnsi="Times New Roman"/>
                  <w:sz w:val="24"/>
                  <w:color w:val="1F4E79"/>
                  <w:u w:val="single"/>
                </w:rPr>
                <w:t>NACE: Career Readiness Competencies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grade 9-10 individual plan of study process reviewed at least annually through advising or student-led conferences.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pathway milestone map for credits, GPA, course planning, CTE, advanced coursework, job shadowing, career exploration, and family communication.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connecting students to career-connected projects, technical learning, workplace exposure, and postsecondary planning.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system for flagging students who need additional academic, advising, pathway, family, financial, or social support before junior year.</w:t>
            </w:r>
          </w:p>
          <w:p>
            <w:pPr>
              <w:spacing w:before="100" w:after="0" w:line="259" w:lineRule="auto"/>
            </w:pPr>
            <w:r>
              <w:rPr>
                <w:rFonts w:ascii="Times New Roman" w:hAnsi="Times New Roman"/>
                <w:b/>
                <w:i w:val="0"/>
                <w:color w:val="1B4F46"/>
                <w:sz w:val="24"/>
                <w:spacing w:val="0"/>
              </w:rPr>
              <w:t xml:space="preserve">Resources: </w:t>
            </w:r>
            <w:hyperlink r:id="rId27">
              <w:r>
                <w:rPr>
                  <w:rFonts w:ascii="Times New Roman" w:hAnsi="Times New Roman"/>
                  <w:sz w:val="24"/>
                  <w:color w:val="1F4E79"/>
                  <w:u w:val="single"/>
                </w:rPr>
                <w:t>IES REL Central: Individual Plans of Study Tip Sheet</w:t>
              </w:r>
            </w:hyperlink>
            <w:r>
              <w:rPr>
                <w:rFonts w:ascii="Times New Roman" w:hAnsi="Times New Roman"/>
                <w:b w:val="0"/>
                <w:i w:val="0"/>
                <w:color w:val="0E2243"/>
                <w:sz w:val="24"/>
                <w:spacing w:val="0"/>
              </w:rPr>
              <w:t xml:space="preserve">; </w:t>
            </w:r>
            <w:hyperlink r:id="rId30">
              <w:r>
                <w:rPr>
                  <w:rFonts w:ascii="Times New Roman" w:hAnsi="Times New Roman"/>
                  <w:sz w:val="24"/>
                  <w:color w:val="1F4E79"/>
                  <w:u w:val="single"/>
                </w:rPr>
                <w:t>FCPS: High School Academic and Career Plan</w:t>
              </w:r>
            </w:hyperlink>
            <w:r>
              <w:rPr>
                <w:rFonts w:ascii="Times New Roman" w:hAnsi="Times New Roman"/>
                <w:b w:val="0"/>
                <w:i w:val="0"/>
                <w:color w:val="0E2243"/>
                <w:sz w:val="24"/>
                <w:spacing w:val="0"/>
              </w:rPr>
              <w:t xml:space="preserve">; </w:t>
            </w:r>
            <w:hyperlink r:id="rId28">
              <w:r>
                <w:rPr>
                  <w:rFonts w:ascii="Times New Roman" w:hAnsi="Times New Roman"/>
                  <w:sz w:val="24"/>
                  <w:color w:val="1F4E79"/>
                  <w:u w:val="single"/>
                </w:rPr>
                <w:t>U.S. Department of Education: Career Pathways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Individual plan of study review: students map courses, credits, GPA, pathway interests, support needs, and next decisions.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Informational interview cycle: students identify a professional, write a request, conduct an interview, and update their plan based on what they learned.</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Pathway cost and requirement comparison: students compare education, training, credential, time, cost, and earning considerations across options.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Technical or career-connected project: students create a product, pitch, brief, prototype, or solution tied to a field or real audience.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Family pathway conference: student, family, and advisor review graduation requirements, interests, supports, and upcoming decisions.</w:t>
            </w:r>
          </w:p>
          <w:p>
            <w:pPr>
              <w:spacing w:before="100" w:after="0" w:line="259" w:lineRule="auto"/>
            </w:pPr>
            <w:r>
              <w:rPr>
                <w:rFonts w:ascii="Times New Roman" w:hAnsi="Times New Roman"/>
                <w:b/>
                <w:i w:val="0"/>
                <w:color w:val="1B4F46"/>
                <w:sz w:val="24"/>
                <w:spacing w:val="0"/>
              </w:rPr>
              <w:t xml:space="preserve">Resources: </w:t>
            </w:r>
            <w:hyperlink r:id="rId26">
              <w:r>
                <w:rPr>
                  <w:rFonts w:ascii="Times New Roman" w:hAnsi="Times New Roman"/>
                  <w:sz w:val="24"/>
                  <w:color w:val="1F4E79"/>
                  <w:u w:val="single"/>
                </w:rPr>
                <w:t>Google Applied Digital Skills</w:t>
              </w:r>
            </w:hyperlink>
            <w:r>
              <w:rPr>
                <w:rFonts w:ascii="Times New Roman" w:hAnsi="Times New Roman"/>
                <w:b w:val="0"/>
                <w:i w:val="0"/>
                <w:color w:val="0E2243"/>
                <w:sz w:val="24"/>
                <w:spacing w:val="0"/>
              </w:rPr>
              <w:t xml:space="preserve">; </w:t>
            </w:r>
            <w:hyperlink r:id="rId21">
              <w:r>
                <w:rPr>
                  <w:rFonts w:ascii="Times New Roman" w:hAnsi="Times New Roman"/>
                  <w:sz w:val="24"/>
                  <w:color w:val="1F4E79"/>
                  <w:u w:val="single"/>
                </w:rPr>
                <w:t>My Next Move: O*NET Interest Profiler</w:t>
              </w:r>
            </w:hyperlink>
            <w:r>
              <w:rPr>
                <w:rFonts w:ascii="Times New Roman" w:hAnsi="Times New Roman"/>
                <w:b w:val="0"/>
                <w:i w:val="0"/>
                <w:color w:val="0E2243"/>
                <w:sz w:val="24"/>
                <w:spacing w:val="0"/>
              </w:rPr>
              <w:t xml:space="preserve">; </w:t>
            </w:r>
            <w:hyperlink r:id="rId31">
              <w:r>
                <w:rPr>
                  <w:rFonts w:ascii="Times New Roman" w:hAnsi="Times New Roman"/>
                  <w:sz w:val="24"/>
                  <w:color w:val="1F4E79"/>
                  <w:u w:val="single"/>
                </w:rPr>
                <w:t>CareerOneStop: Self-Assessments</w:t>
              </w:r>
            </w:hyperlink>
            <w:r>
              <w:rPr>
                <w:rFonts w:ascii="Times New Roman" w:hAnsi="Times New Roman"/>
                <w:b w:val="0"/>
                <w:i w:val="0"/>
                <w:color w:val="0E2243"/>
                <w:sz w:val="24"/>
                <w:spacing w:val="0"/>
              </w:rPr>
              <w:t xml:space="preserve">; </w:t>
            </w:r>
            <w:hyperlink r:id="rId32">
              <w:r>
                <w:rPr>
                  <w:rFonts w:ascii="Times New Roman" w:hAnsi="Times New Roman"/>
                  <w:sz w:val="24"/>
                  <w:color w:val="1F4E79"/>
                  <w:u w:val="single"/>
                </w:rPr>
                <w:t>Federal Student Aid: Prepare for College</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Individual plan of study completion and updates, including courses, credits, goals, support needs, and reflection.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Advising participation, family conference participation, course sequence decisions, GPA/credit monitoring, and support referrals.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Career-connected project artifacts, informational interview notes, pathway comparisons, resumes, and professional communication samples.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Disaggregated data showing access to CTE, rigorous coursework, advising, work-based learning exposure, and pathway planning support.</w:t>
            </w:r>
          </w:p>
          <w:p>
            <w:pPr>
              <w:spacing w:before="100" w:after="0" w:line="259" w:lineRule="auto"/>
            </w:pPr>
            <w:r>
              <w:rPr>
                <w:rFonts w:ascii="Times New Roman" w:hAnsi="Times New Roman"/>
                <w:b/>
                <w:i w:val="0"/>
                <w:color w:val="1B4F46"/>
                <w:sz w:val="24"/>
                <w:spacing w:val="0"/>
              </w:rPr>
              <w:t xml:space="preserve">Resources: </w:t>
            </w:r>
            <w:hyperlink r:id="rId27">
              <w:r>
                <w:rPr>
                  <w:rFonts w:ascii="Times New Roman" w:hAnsi="Times New Roman"/>
                  <w:sz w:val="24"/>
                  <w:color w:val="1F4E79"/>
                  <w:u w:val="single"/>
                </w:rPr>
                <w:t>IES REL Central: Individual Plans of Study Tip Sheet</w:t>
              </w:r>
            </w:hyperlink>
            <w:r>
              <w:rPr>
                <w:rFonts w:ascii="Times New Roman" w:hAnsi="Times New Roman"/>
                <w:b w:val="0"/>
                <w:i w:val="0"/>
                <w:color w:val="0E2243"/>
                <w:sz w:val="24"/>
                <w:spacing w:val="0"/>
              </w:rPr>
              <w:t xml:space="preserve">; </w:t>
            </w:r>
            <w:hyperlink r:id="rId29">
              <w:r>
                <w:rPr>
                  <w:rFonts w:ascii="Times New Roman" w:hAnsi="Times New Roman"/>
                  <w:sz w:val="24"/>
                  <w:color w:val="1F4E79"/>
                  <w:u w:val="single"/>
                </w:rPr>
                <w:t>NACE: Career Readiness Competencies</w:t>
              </w:r>
            </w:hyperlink>
            <w:r>
              <w:rPr>
                <w:rFonts w:ascii="Times New Roman" w:hAnsi="Times New Roman"/>
                <w:b w:val="0"/>
                <w:i w:val="0"/>
                <w:color w:val="0E2243"/>
                <w:sz w:val="24"/>
                <w:spacing w:val="0"/>
              </w:rPr>
              <w:t xml:space="preserve">; </w:t>
            </w:r>
            <w:hyperlink r:id="rId11">
              <w:r>
                <w:rPr>
                  <w:rFonts w:ascii="Times New Roman" w:hAnsi="Times New Roman"/>
                  <w:sz w:val="24"/>
                  <w:color w:val="1F4E79"/>
                  <w:u w:val="single"/>
                </w:rPr>
                <w:t>ASCA Mindsets and Behaviors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9-10 individual plan of study and advising calendar.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milestone map for credits, GPA, course planning, CTE, advanced coursework, job shadowing, and family communication.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pathway exploration and early work-based learning access plan.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identifying students who need additional support before grade 11.</w:t>
            </w:r>
          </w:p>
          <w:p>
            <w:pPr>
              <w:spacing w:before="100" w:after="0" w:line="259" w:lineRule="auto"/>
            </w:pPr>
            <w:r>
              <w:rPr>
                <w:rFonts w:ascii="Times New Roman" w:hAnsi="Times New Roman"/>
                <w:b/>
                <w:i w:val="0"/>
                <w:color w:val="1B4F46"/>
                <w:sz w:val="24"/>
                <w:spacing w:val="0"/>
              </w:rPr>
              <w:t xml:space="preserve">Resources: </w:t>
            </w:r>
            <w:hyperlink r:id="rId27">
              <w:r>
                <w:rPr>
                  <w:rFonts w:ascii="Times New Roman" w:hAnsi="Times New Roman"/>
                  <w:sz w:val="24"/>
                  <w:color w:val="1F4E79"/>
                  <w:u w:val="single"/>
                </w:rPr>
                <w:t>IES REL Central: Individual Plans of Study Tip Sheet</w:t>
              </w:r>
            </w:hyperlink>
            <w:r>
              <w:rPr>
                <w:rFonts w:ascii="Times New Roman" w:hAnsi="Times New Roman"/>
                <w:b w:val="0"/>
                <w:i w:val="0"/>
                <w:color w:val="0E2243"/>
                <w:sz w:val="24"/>
                <w:spacing w:val="0"/>
              </w:rPr>
              <w:t xml:space="preserve">; </w:t>
            </w:r>
            <w:hyperlink r:id="rId30">
              <w:r>
                <w:rPr>
                  <w:rFonts w:ascii="Times New Roman" w:hAnsi="Times New Roman"/>
                  <w:sz w:val="24"/>
                  <w:color w:val="1F4E79"/>
                  <w:u w:val="single"/>
                </w:rPr>
                <w:t>FCPS: High School Academic and Career Plan</w:t>
              </w:r>
            </w:hyperlink>
            <w:r>
              <w:rPr>
                <w:rFonts w:ascii="Times New Roman" w:hAnsi="Times New Roman"/>
                <w:b w:val="0"/>
                <w:i w:val="0"/>
                <w:color w:val="0E2243"/>
                <w:sz w:val="24"/>
                <w:spacing w:val="0"/>
              </w:rPr>
              <w:t xml:space="preserve">; </w:t>
            </w:r>
            <w:hyperlink r:id="rId28">
              <w:r>
                <w:rPr>
                  <w:rFonts w:ascii="Times New Roman" w:hAnsi="Times New Roman"/>
                  <w:sz w:val="24"/>
                  <w:color w:val="1F4E79"/>
                  <w:u w:val="single"/>
                </w:rPr>
                <w:t>U.S. Department of Education: Career Pathways</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9-10: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40" w:after="40" w:line="259" w:lineRule="auto"/>
      </w:pPr>
      <w:r>
        <w:rPr>
          <w:rFonts w:ascii="Times New Roman" w:hAnsi="Times New Roman"/>
          <w:b/>
          <w:i w:val="0"/>
          <w:color w:val="0E2243"/>
          <w:sz w:val="28"/>
          <w:spacing w:val="0"/>
        </w:rPr>
        <w:t>Grades 11-12</w:t>
      </w:r>
    </w:p>
    <w:p>
      <w:pPr>
        <w:spacing w:before="0" w:after="100" w:line="259" w:lineRule="auto"/>
      </w:pPr>
      <w:r>
        <w:rPr>
          <w:rFonts w:ascii="Times New Roman" w:hAnsi="Times New Roman"/>
          <w:b w:val="0"/>
          <w:i/>
          <w:color w:val="1B4F46"/>
          <w:sz w:val="24"/>
          <w:spacing w:val="0"/>
        </w:rPr>
        <w:t>Ensure every student moves from pathway intention to a viable postsecondary transition plan with evidence, milestones, and support.</w:t>
      </w:r>
    </w:p>
    <w:tbl>
      <w:tblPr>
        <w:tblStyle w:val="TableGrid"/>
        <w:tblW w:type="dxa" w:w="10080"/>
        <w:tblLook w:firstColumn="1" w:firstRow="1" w:lastColumn="0" w:lastRow="0" w:noHBand="0" w:noVBand="1" w:val="04A0"/>
        <w:tblLayout w:type="fixed"/>
      </w:tblPr>
      <w:tblGrid>
        <w:gridCol w:w="3200"/>
        <w:gridCol w:w="6880"/>
      </w:tblGrid>
      <w:tr>
        <w:tc>
          <w:tcPr>
            <w:tcW w:type="dxa" w:w="320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Component</w:t>
            </w:r>
          </w:p>
        </w:tc>
        <w:tc>
          <w:tcPr>
            <w:tcW w:type="dxa" w:w="6880"/>
            <w:shd w:fill="1B4F46"/>
            <w:tcBorders>
              <w:top w:val="single" w:sz="8" w:space="0" w:color="1B4F46"/>
              <w:left w:val="single" w:sz="8" w:space="0" w:color="1B4F46"/>
              <w:bottom w:val="single" w:sz="8" w:space="0" w:color="1B4F46"/>
              <w:right w:val="single" w:sz="8" w:space="0" w:color="1B4F46"/>
            </w:tcBorders>
            <w:tcMar>
              <w:top w:w="125" w:type="dxa"/>
              <w:start w:w="145" w:type="dxa"/>
              <w:bottom w:w="125" w:type="dxa"/>
              <w:end w:w="145" w:type="dxa"/>
            </w:tcMar>
          </w:tcPr>
          <w:p>
            <w:pPr>
              <w:spacing w:before="20" w:after="60" w:line="259" w:lineRule="auto"/>
              <w:jc w:val="center"/>
            </w:pPr>
            <w:r>
              <w:rPr>
                <w:rFonts w:ascii="Times New Roman" w:hAnsi="Times New Roman"/>
                <w:b/>
                <w:i w:val="0"/>
                <w:color w:val="FFFFFF"/>
                <w:sz w:val="24"/>
                <w:spacing w:val="0"/>
              </w:rPr>
              <w:t>Building Guidance</w:t>
            </w:r>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Students Should Experience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maintain a current Enrollment, Enlistment, or Employment plan with next steps, deadlines, requirements, financial considerations, supports, and backup options.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complete meaningful pathway experiences such as internships, apprenticeships, CTE placements, dual enrollment, service learning, capstones, credentials, employment, military exploration, or career-connected projects.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practice transition navigation tasks such as applications, FAFSA, resumes, interviews, credential requirements, enrollment steps, workplace communication, and support-seeking.</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Students demonstrate readiness through portfolio evidence, capstone products, professional communication, pathway reflection, and decision-making.</w:t>
            </w:r>
          </w:p>
          <w:p>
            <w:pPr>
              <w:spacing w:before="100" w:after="0" w:line="259" w:lineRule="auto"/>
            </w:pPr>
            <w:r>
              <w:rPr>
                <w:rFonts w:ascii="Times New Roman" w:hAnsi="Times New Roman"/>
                <w:b/>
                <w:i w:val="0"/>
                <w:color w:val="1B4F46"/>
                <w:sz w:val="24"/>
                <w:spacing w:val="0"/>
              </w:rPr>
              <w:t xml:space="preserve">Resources: </w:t>
            </w:r>
            <w:hyperlink r:id="rId29">
              <w:r>
                <w:rPr>
                  <w:rFonts w:ascii="Times New Roman" w:hAnsi="Times New Roman"/>
                  <w:sz w:val="24"/>
                  <w:color w:val="1F4E79"/>
                  <w:u w:val="single"/>
                </w:rPr>
                <w:t>NACE: Career Readiness Competencies</w:t>
              </w:r>
            </w:hyperlink>
            <w:r>
              <w:rPr>
                <w:rFonts w:ascii="Times New Roman" w:hAnsi="Times New Roman"/>
                <w:b w:val="0"/>
                <w:i w:val="0"/>
                <w:color w:val="0E2243"/>
                <w:sz w:val="24"/>
                <w:spacing w:val="0"/>
              </w:rPr>
              <w:t xml:space="preserve">; </w:t>
            </w:r>
            <w:hyperlink r:id="rId28">
              <w:r>
                <w:rPr>
                  <w:rFonts w:ascii="Times New Roman" w:hAnsi="Times New Roman"/>
                  <w:sz w:val="24"/>
                  <w:color w:val="1F4E79"/>
                  <w:u w:val="single"/>
                </w:rPr>
                <w:t>U.S. Department of Education: Career Pathways</w:t>
              </w:r>
            </w:hyperlink>
            <w:r>
              <w:rPr>
                <w:rFonts w:ascii="Times New Roman" w:hAnsi="Times New Roman"/>
                <w:b w:val="0"/>
                <w:i w:val="0"/>
                <w:color w:val="0E2243"/>
                <w:sz w:val="24"/>
                <w:spacing w:val="0"/>
              </w:rPr>
              <w:t xml:space="preserve">; </w:t>
            </w:r>
            <w:hyperlink r:id="rId33">
              <w:r>
                <w:rPr>
                  <w:rFonts w:ascii="Times New Roman" w:hAnsi="Times New Roman"/>
                  <w:sz w:val="24"/>
                  <w:color w:val="1F4E79"/>
                  <w:u w:val="single"/>
                </w:rPr>
                <w:t>Apprenticeship.gov: Career Seekers</w:t>
              </w:r>
            </w:hyperlink>
            <w:r>
              <w:rPr>
                <w:rFonts w:ascii="Times New Roman" w:hAnsi="Times New Roman"/>
                <w:b w:val="0"/>
                <w:i w:val="0"/>
                <w:color w:val="0E2243"/>
                <w:sz w:val="24"/>
                <w:spacing w:val="0"/>
              </w:rPr>
              <w:t xml:space="preserve">; </w:t>
            </w:r>
            <w:hyperlink r:id="rId34">
              <w:r>
                <w:rPr>
                  <w:rFonts w:ascii="Times New Roman" w:hAnsi="Times New Roman"/>
                  <w:sz w:val="24"/>
                  <w:color w:val="1F4E79"/>
                  <w:u w:val="single"/>
                </w:rPr>
                <w:t>Federal Student Aid: FAFSA Checklist</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Adults Should Do</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Track every student's postsecondary placement status, milestones, deadlines, support needs, and backup plan.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Coordinate counseling, CTE, classroom, family, employer, military, community, and postsecondary supports around student plans.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Provide clear routines for financial aid, applications, credentials, work-based learning, interviews, resumes, and final placement review.</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Monitor equitable access to pathway experiences, advising, credentials, advanced coursework, financial aid help, and transition support.</w:t>
            </w:r>
          </w:p>
          <w:p>
            <w:pPr>
              <w:spacing w:before="100" w:after="0" w:line="259" w:lineRule="auto"/>
            </w:pPr>
            <w:r>
              <w:rPr>
                <w:rFonts w:ascii="Times New Roman" w:hAnsi="Times New Roman"/>
                <w:b/>
                <w:i w:val="0"/>
                <w:color w:val="1B4F46"/>
                <w:sz w:val="24"/>
                <w:spacing w:val="0"/>
              </w:rPr>
              <w:t xml:space="preserve">Resources: </w:t>
            </w:r>
            <w:hyperlink r:id="rId29">
              <w:r>
                <w:rPr>
                  <w:rFonts w:ascii="Times New Roman" w:hAnsi="Times New Roman"/>
                  <w:sz w:val="24"/>
                  <w:color w:val="1F4E79"/>
                  <w:u w:val="single"/>
                </w:rPr>
                <w:t>NACE: Career Readiness Competencies</w:t>
              </w:r>
            </w:hyperlink>
            <w:r>
              <w:rPr>
                <w:rFonts w:ascii="Times New Roman" w:hAnsi="Times New Roman"/>
                <w:b w:val="0"/>
                <w:i w:val="0"/>
                <w:color w:val="0E2243"/>
                <w:sz w:val="24"/>
                <w:spacing w:val="0"/>
              </w:rPr>
              <w:t xml:space="preserve">; </w:t>
            </w:r>
            <w:hyperlink r:id="rId10">
              <w:r>
                <w:rPr>
                  <w:rFonts w:ascii="Times New Roman" w:hAnsi="Times New Roman"/>
                  <w:sz w:val="24"/>
                  <w:color w:val="1F4E79"/>
                  <w:u w:val="single"/>
                </w:rPr>
                <w:t>Pennsylvania Career Ready Skills Toolkit</w:t>
              </w:r>
            </w:hyperlink>
            <w:r>
              <w:rPr>
                <w:rFonts w:ascii="Times New Roman" w:hAnsi="Times New Roman"/>
                <w:b w:val="0"/>
                <w:i w:val="0"/>
                <w:color w:val="0E2243"/>
                <w:sz w:val="24"/>
                <w:spacing w:val="0"/>
              </w:rPr>
              <w:t xml:space="preserve">; </w:t>
            </w:r>
            <w:hyperlink r:id="rId11">
              <w:r>
                <w:rPr>
                  <w:rFonts w:ascii="Times New Roman" w:hAnsi="Times New Roman"/>
                  <w:sz w:val="24"/>
                  <w:color w:val="1F4E79"/>
                  <w:u w:val="single"/>
                </w:rPr>
                <w:t>ASCA Mindsets and Behaviors</w:t>
              </w:r>
            </w:hyperlink>
            <w:r>
              <w:rPr>
                <w:rFonts w:ascii="Times New Roman" w:hAnsi="Times New Roman"/>
                <w:b w:val="0"/>
                <w:i w:val="0"/>
                <w:color w:val="0E2243"/>
                <w:sz w:val="24"/>
                <w:spacing w:val="0"/>
              </w:rPr>
              <w:t xml:space="preserve">; </w:t>
            </w:r>
            <w:hyperlink r:id="rId28">
              <w:r>
                <w:rPr>
                  <w:rFonts w:ascii="Times New Roman" w:hAnsi="Times New Roman"/>
                  <w:sz w:val="24"/>
                  <w:color w:val="1F4E79"/>
                  <w:u w:val="single"/>
                </w:rPr>
                <w:t>U.S. Department of Education: Career Pathways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Should Implement</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An 11-12 transition milestone system that tracks Enrollment, Enlistment, and Employment progress for every student.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senior placement review process with intervention steps for students who are missing plans, deadlines, documents, or supports.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pathway experience process for internships, apprenticeships, credentials, CTE, dual enrollment, service, employment, military exploration, or capstones.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postsecondary navigation routine that includes financial aid, applications, resumes, interviews, enrollment, onboarding, and independent-living considerations.</w:t>
            </w:r>
          </w:p>
          <w:p>
            <w:pPr>
              <w:spacing w:before="100" w:after="0" w:line="259" w:lineRule="auto"/>
            </w:pPr>
            <w:r>
              <w:rPr>
                <w:rFonts w:ascii="Times New Roman" w:hAnsi="Times New Roman"/>
                <w:b/>
                <w:i w:val="0"/>
                <w:color w:val="1B4F46"/>
                <w:sz w:val="24"/>
                <w:spacing w:val="0"/>
              </w:rPr>
              <w:t xml:space="preserve">Resources: </w:t>
            </w:r>
            <w:hyperlink r:id="rId28">
              <w:r>
                <w:rPr>
                  <w:rFonts w:ascii="Times New Roman" w:hAnsi="Times New Roman"/>
                  <w:sz w:val="24"/>
                  <w:color w:val="1F4E79"/>
                  <w:u w:val="single"/>
                </w:rPr>
                <w:t>U.S. Department of Education: Career Pathways</w:t>
              </w:r>
            </w:hyperlink>
            <w:r>
              <w:rPr>
                <w:rFonts w:ascii="Times New Roman" w:hAnsi="Times New Roman"/>
                <w:b w:val="0"/>
                <w:i w:val="0"/>
                <w:color w:val="0E2243"/>
                <w:sz w:val="24"/>
                <w:spacing w:val="0"/>
              </w:rPr>
              <w:t xml:space="preserve">; </w:t>
            </w:r>
            <w:hyperlink r:id="rId33">
              <w:r>
                <w:rPr>
                  <w:rFonts w:ascii="Times New Roman" w:hAnsi="Times New Roman"/>
                  <w:sz w:val="24"/>
                  <w:color w:val="1F4E79"/>
                  <w:u w:val="single"/>
                </w:rPr>
                <w:t>Apprenticeship.gov: Career Seekers</w:t>
              </w:r>
            </w:hyperlink>
            <w:r>
              <w:rPr>
                <w:rFonts w:ascii="Times New Roman" w:hAnsi="Times New Roman"/>
                <w:b w:val="0"/>
                <w:i w:val="0"/>
                <w:color w:val="0E2243"/>
                <w:sz w:val="24"/>
                <w:spacing w:val="0"/>
              </w:rPr>
              <w:t xml:space="preserve">; </w:t>
            </w:r>
            <w:hyperlink r:id="rId35">
              <w:r>
                <w:rPr>
                  <w:rFonts w:ascii="Times New Roman" w:hAnsi="Times New Roman"/>
                  <w:sz w:val="24"/>
                  <w:color w:val="1F4E79"/>
                  <w:u w:val="single"/>
                </w:rPr>
                <w:t>Federal Student Aid: Steps for Students Filling Out the FAFSA Form</w:t>
              </w:r>
            </w:hyperlink>
            <w:r>
              <w:rPr>
                <w:rFonts w:ascii="Times New Roman" w:hAnsi="Times New Roman"/>
                <w:b w:val="0"/>
                <w:i w:val="0"/>
                <w:color w:val="0E2243"/>
                <w:sz w:val="24"/>
                <w:spacing w:val="0"/>
              </w:rPr>
              <w:t xml:space="preserve">; </w:t>
            </w:r>
            <w:hyperlink r:id="rId36">
              <w:r>
                <w:rPr>
                  <w:rFonts w:ascii="Times New Roman" w:hAnsi="Times New Roman"/>
                  <w:sz w:val="24"/>
                  <w:color w:val="1F4E79"/>
                  <w:u w:val="single"/>
                </w:rPr>
                <w:t>CareerOneStop: Find Certifications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Implementation Examples</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Senior placement conference: each student reviews the primary plan, backup plan, barriers, deadlines, documents, and next support actions with an adult advisor.</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Pathway experience reflection: students connect an internship, apprenticeship, credential, job, service project, CTE placement, or dual enrollment course to future decisions.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FAFSA and application milestone workshop: students complete required steps, identify missing information, and document follow-up actions.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Resume, interview, and professional communication cycle: students draft, revise, practice, receive feedback, and reflect on readiness.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Credential or certification plan: students identify a relevant credential, requirements, preparation steps, timeline, and connection to a pathway.</w:t>
            </w:r>
          </w:p>
          <w:p>
            <w:pPr>
              <w:spacing w:before="100" w:after="0" w:line="259" w:lineRule="auto"/>
            </w:pPr>
            <w:r>
              <w:rPr>
                <w:rFonts w:ascii="Times New Roman" w:hAnsi="Times New Roman"/>
                <w:b/>
                <w:i w:val="0"/>
                <w:color w:val="1B4F46"/>
                <w:sz w:val="24"/>
                <w:spacing w:val="0"/>
              </w:rPr>
              <w:t xml:space="preserve">Resources: </w:t>
            </w:r>
            <w:hyperlink r:id="rId15">
              <w:r>
                <w:rPr>
                  <w:rFonts w:ascii="Times New Roman" w:hAnsi="Times New Roman"/>
                  <w:sz w:val="24"/>
                  <w:color w:val="1F4E79"/>
                  <w:u w:val="single"/>
                </w:rPr>
                <w:t>CareerOneStop: Explore Careers</w:t>
              </w:r>
            </w:hyperlink>
            <w:r>
              <w:rPr>
                <w:rFonts w:ascii="Times New Roman" w:hAnsi="Times New Roman"/>
                <w:b w:val="0"/>
                <w:i w:val="0"/>
                <w:color w:val="0E2243"/>
                <w:sz w:val="24"/>
                <w:spacing w:val="0"/>
              </w:rPr>
              <w:t xml:space="preserve">; </w:t>
            </w:r>
            <w:hyperlink r:id="rId26">
              <w:r>
                <w:rPr>
                  <w:rFonts w:ascii="Times New Roman" w:hAnsi="Times New Roman"/>
                  <w:sz w:val="24"/>
                  <w:color w:val="1F4E79"/>
                  <w:u w:val="single"/>
                </w:rPr>
                <w:t>Google Applied Digital Skills</w:t>
              </w:r>
            </w:hyperlink>
            <w:r>
              <w:rPr>
                <w:rFonts w:ascii="Times New Roman" w:hAnsi="Times New Roman"/>
                <w:b w:val="0"/>
                <w:i w:val="0"/>
                <w:color w:val="0E2243"/>
                <w:sz w:val="24"/>
                <w:spacing w:val="0"/>
              </w:rPr>
              <w:t xml:space="preserve">; </w:t>
            </w:r>
            <w:hyperlink r:id="rId34">
              <w:r>
                <w:rPr>
                  <w:rFonts w:ascii="Times New Roman" w:hAnsi="Times New Roman"/>
                  <w:sz w:val="24"/>
                  <w:color w:val="1F4E79"/>
                  <w:u w:val="single"/>
                </w:rPr>
                <w:t>Federal Student Aid: FAFSA Checklist</w:t>
              </w:r>
            </w:hyperlink>
            <w:r>
              <w:rPr>
                <w:rFonts w:ascii="Times New Roman" w:hAnsi="Times New Roman"/>
                <w:b w:val="0"/>
                <w:i w:val="0"/>
                <w:color w:val="0E2243"/>
                <w:sz w:val="24"/>
                <w:spacing w:val="0"/>
              </w:rPr>
              <w:t xml:space="preserve">; </w:t>
            </w:r>
            <w:hyperlink r:id="rId36">
              <w:r>
                <w:rPr>
                  <w:rFonts w:ascii="Times New Roman" w:hAnsi="Times New Roman"/>
                  <w:sz w:val="24"/>
                  <w:color w:val="1F4E79"/>
                  <w:u w:val="single"/>
                </w:rPr>
                <w:t>CareerOneStop: Find Certifications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Evidence to Monitor</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Completed Enrollment, Enlistment, or Employment plans, backup plans, senior placement conference records, and transition milestone completion.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Application, enrollment, FAFSA, credential, apprenticeship, military, employment, advising, and support-completion data.</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Internship, work-based learning, service, CTE, dual-enrollment, capstone, credential, or career-connected artifacts and reflections.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Professional communication samples, resumes, interviews, supervisor feedback, portfolio evidence, and pathway decision reflections.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Disaggregated placement and access data showing which students are receiving advising, pathway experiences, financial aid help, credentials, and transition support.</w:t>
            </w:r>
          </w:p>
          <w:p>
            <w:pPr>
              <w:spacing w:before="100" w:after="0" w:line="259" w:lineRule="auto"/>
            </w:pPr>
            <w:r>
              <w:rPr>
                <w:rFonts w:ascii="Times New Roman" w:hAnsi="Times New Roman"/>
                <w:b/>
                <w:i w:val="0"/>
                <w:color w:val="1B4F46"/>
                <w:sz w:val="24"/>
                <w:spacing w:val="0"/>
              </w:rPr>
              <w:t xml:space="preserve">Resources: </w:t>
            </w:r>
            <w:hyperlink r:id="rId29">
              <w:r>
                <w:rPr>
                  <w:rFonts w:ascii="Times New Roman" w:hAnsi="Times New Roman"/>
                  <w:sz w:val="24"/>
                  <w:color w:val="1F4E79"/>
                  <w:u w:val="single"/>
                </w:rPr>
                <w:t>NACE: Career Readiness Competencies</w:t>
              </w:r>
            </w:hyperlink>
            <w:r>
              <w:rPr>
                <w:rFonts w:ascii="Times New Roman" w:hAnsi="Times New Roman"/>
                <w:b w:val="0"/>
                <w:i w:val="0"/>
                <w:color w:val="0E2243"/>
                <w:sz w:val="24"/>
                <w:spacing w:val="0"/>
              </w:rPr>
              <w:t xml:space="preserve">; </w:t>
            </w:r>
            <w:hyperlink r:id="rId28">
              <w:r>
                <w:rPr>
                  <w:rFonts w:ascii="Times New Roman" w:hAnsi="Times New Roman"/>
                  <w:sz w:val="24"/>
                  <w:color w:val="1F4E79"/>
                  <w:u w:val="single"/>
                </w:rPr>
                <w:t>U.S. Department of Education: Career Pathways</w:t>
              </w:r>
            </w:hyperlink>
            <w:r>
              <w:rPr>
                <w:rFonts w:ascii="Times New Roman" w:hAnsi="Times New Roman"/>
                <w:b w:val="0"/>
                <w:i w:val="0"/>
                <w:color w:val="0E2243"/>
                <w:sz w:val="24"/>
                <w:spacing w:val="0"/>
              </w:rPr>
              <w:t xml:space="preserve">; </w:t>
            </w:r>
            <w:hyperlink r:id="rId11">
              <w:r>
                <w:rPr>
                  <w:rFonts w:ascii="Times New Roman" w:hAnsi="Times New Roman"/>
                  <w:sz w:val="24"/>
                  <w:color w:val="1F4E79"/>
                  <w:u w:val="single"/>
                </w:rPr>
                <w:t>ASCA Mindsets and Behaviors</w:t>
              </w:r>
            </w:hyperlink>
          </w:p>
        </w:tc>
      </w:tr>
      <w:tr>
        <w:tc>
          <w:tcPr>
            <w:tcW w:type="dxa" w:w="320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shd w:fill="F2F7F5"/>
          </w:tcPr>
          <w:p>
            <w:pPr>
              <w:spacing w:before="20" w:after="60" w:line="259" w:lineRule="auto"/>
            </w:pPr>
            <w:r>
              <w:rPr>
                <w:rFonts w:ascii="Times New Roman" w:hAnsi="Times New Roman"/>
                <w:b/>
                <w:i w:val="0"/>
                <w:color w:val="1B4F46"/>
                <w:sz w:val="24"/>
                <w:spacing w:val="0"/>
              </w:rPr>
              <w:t>What the Building Team Should Produce</w:t>
            </w:r>
          </w:p>
        </w:tc>
        <w:tc>
          <w:tcPr>
            <w:tcW w:type="dxa" w:w="6880"/>
            <w:tcBorders>
              <w:top w:val="single" w:sz="6" w:space="0" w:color="D5DBE5"/>
              <w:left w:val="single" w:sz="6" w:space="0" w:color="D5DBE5"/>
              <w:bottom w:val="single" w:sz="6" w:space="0" w:color="D5DBE5"/>
              <w:right w:val="single" w:sz="6" w:space="0" w:color="D5DBE5"/>
            </w:tcBorders>
            <w:tcMar>
              <w:top w:w="135" w:type="dxa"/>
              <w:start w:w="150" w:type="dxa"/>
              <w:bottom w:w="135" w:type="dxa"/>
              <w:end w:w="150" w:type="dxa"/>
            </w:tcMar>
          </w:tcP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An 11-12 transition milestone map for Enrollment, Enlistment, and Employment.</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senior placement review process with backup-plan and intervention steps.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work-based learning, credential, apprenticeship, CTE, and career-connected experience access plan.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financial aid, application, resume, interview, and postsecondary navigation support routine.</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A process for monitoring equitable access to advising, pathway experiences, credentials, placement support, and transition help.</w:t>
            </w:r>
          </w:p>
          <w:p>
            <w:pPr>
              <w:spacing w:before="100" w:after="0" w:line="259" w:lineRule="auto"/>
            </w:pPr>
            <w:r>
              <w:rPr>
                <w:rFonts w:ascii="Times New Roman" w:hAnsi="Times New Roman"/>
                <w:b/>
                <w:i w:val="0"/>
                <w:color w:val="1B4F46"/>
                <w:sz w:val="24"/>
                <w:spacing w:val="0"/>
              </w:rPr>
              <w:t xml:space="preserve">Resources: </w:t>
            </w:r>
            <w:hyperlink r:id="rId28">
              <w:r>
                <w:rPr>
                  <w:rFonts w:ascii="Times New Roman" w:hAnsi="Times New Roman"/>
                  <w:sz w:val="24"/>
                  <w:color w:val="1F4E79"/>
                  <w:u w:val="single"/>
                </w:rPr>
                <w:t>U.S. Department of Education: Career Pathways</w:t>
              </w:r>
            </w:hyperlink>
            <w:r>
              <w:rPr>
                <w:rFonts w:ascii="Times New Roman" w:hAnsi="Times New Roman"/>
                <w:b w:val="0"/>
                <w:i w:val="0"/>
                <w:color w:val="0E2243"/>
                <w:sz w:val="24"/>
                <w:spacing w:val="0"/>
              </w:rPr>
              <w:t xml:space="preserve">; </w:t>
            </w:r>
            <w:hyperlink r:id="rId33">
              <w:r>
                <w:rPr>
                  <w:rFonts w:ascii="Times New Roman" w:hAnsi="Times New Roman"/>
                  <w:sz w:val="24"/>
                  <w:color w:val="1F4E79"/>
                  <w:u w:val="single"/>
                </w:rPr>
                <w:t>Apprenticeship.gov: Career Seekers</w:t>
              </w:r>
            </w:hyperlink>
            <w:r>
              <w:rPr>
                <w:rFonts w:ascii="Times New Roman" w:hAnsi="Times New Roman"/>
                <w:b w:val="0"/>
                <w:i w:val="0"/>
                <w:color w:val="0E2243"/>
                <w:sz w:val="24"/>
                <w:spacing w:val="0"/>
              </w:rPr>
              <w:t xml:space="preserve">; </w:t>
            </w:r>
            <w:hyperlink r:id="rId34">
              <w:r>
                <w:rPr>
                  <w:rFonts w:ascii="Times New Roman" w:hAnsi="Times New Roman"/>
                  <w:sz w:val="24"/>
                  <w:color w:val="1F4E79"/>
                  <w:u w:val="single"/>
                </w:rPr>
                <w:t>Federal Student Aid: FAFSA Checklist</w:t>
              </w:r>
            </w:hyperlink>
            <w:r>
              <w:rPr>
                <w:rFonts w:ascii="Times New Roman" w:hAnsi="Times New Roman"/>
                <w:b w:val="0"/>
                <w:i w:val="0"/>
                <w:color w:val="0E2243"/>
                <w:sz w:val="24"/>
                <w:spacing w:val="0"/>
              </w:rPr>
              <w:t xml:space="preserve">; </w:t>
            </w:r>
            <w:hyperlink r:id="rId36">
              <w:r>
                <w:rPr>
                  <w:rFonts w:ascii="Times New Roman" w:hAnsi="Times New Roman"/>
                  <w:sz w:val="24"/>
                  <w:color w:val="1F4E79"/>
                  <w:u w:val="single"/>
                </w:rPr>
                <w:t>CareerOneStop: Find Certifications</w:t>
              </w:r>
            </w:hyperlink>
          </w:p>
        </w:tc>
      </w:tr>
    </w:tbl>
    <w:p>
      <w:pPr>
        <w:spacing w:before="20" w:after="120" w:line="259" w:lineRule="auto"/>
      </w:pPr>
      <w:r>
        <w:rPr>
          <w:rFonts w:ascii="Times New Roman" w:hAnsi="Times New Roman"/>
          <w:b w:val="0"/>
          <w:i w:val="0"/>
          <w:color w:val="0E2243"/>
          <w:sz w:val="24"/>
          <w:spacing w:val="0"/>
        </w:rPr>
      </w:r>
    </w:p>
    <w:p>
      <w:pPr>
        <w:spacing w:before="40" w:after="80" w:line="259" w:lineRule="auto"/>
        <w:jc w:val="center"/>
      </w:pPr>
      <w:r>
        <w:rPr>
          <w:rFonts w:ascii="Times New Roman" w:hAnsi="Times New Roman"/>
          <w:b/>
          <w:i w:val="0"/>
          <w:color w:val="1B4F46"/>
          <w:sz w:val="24"/>
          <w:spacing w:val="0"/>
        </w:rPr>
        <w:t>Grades 11-12: Building Team Planning Response</w:t>
      </w:r>
    </w:p>
    <w:tbl>
      <w:tblPr>
        <w:tblStyle w:val="TableGrid"/>
        <w:tblW w:type="dxa" w:w="10080"/>
        <w:tblLook w:firstColumn="1" w:firstRow="1" w:lastColumn="0" w:lastRow="0" w:noHBand="0" w:noVBand="1" w:val="04A0"/>
        <w:tblLayout w:type="fixed"/>
      </w:tblPr>
      <w:tblGrid>
        <w:gridCol w:w="2520"/>
        <w:gridCol w:w="2520"/>
        <w:gridCol w:w="2520"/>
        <w:gridCol w:w="2520"/>
      </w:tblGrid>
      <w:tr>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will we implement?</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Who will lead the first actions?</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evidence will we monitor?</w:t>
            </w:r>
          </w:p>
        </w:tc>
        <w:tc>
          <w:tcPr>
            <w:tcW w:type="dxa" w:w="2520"/>
            <w:shd w:fill="F2F7F5"/>
            <w:tcBorders>
              <w:top w:val="single" w:sz="8" w:space="0" w:color="BFD5D0"/>
              <w:left w:val="single" w:sz="8" w:space="0" w:color="BFD5D0"/>
              <w:bottom w:val="single" w:sz="8" w:space="0" w:color="BFD5D0"/>
              <w:right w:val="single" w:sz="8" w:space="0" w:color="BFD5D0"/>
            </w:tcBorders>
            <w:tcMar>
              <w:top w:w="120" w:type="dxa"/>
              <w:start w:w="140" w:type="dxa"/>
              <w:bottom w:w="120" w:type="dxa"/>
              <w:end w:w="140" w:type="dxa"/>
            </w:tcMar>
          </w:tcPr>
          <w:p>
            <w:pPr>
              <w:spacing w:before="20" w:after="60" w:line="259" w:lineRule="auto"/>
              <w:jc w:val="center"/>
            </w:pPr>
            <w:r>
              <w:rPr>
                <w:rFonts w:ascii="Times New Roman" w:hAnsi="Times New Roman"/>
                <w:b/>
                <w:i w:val="0"/>
                <w:color w:val="1B4F46"/>
                <w:sz w:val="24"/>
                <w:spacing w:val="0"/>
              </w:rPr>
              <w:t>What support do we need?</w:t>
            </w:r>
          </w:p>
        </w:tc>
      </w:tr>
      <w:tr>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c>
          <w:tcPr>
            <w:tcW w:type="dxa" w:w="2520"/>
            <w:tcBorders>
              <w:top w:val="single" w:sz="6" w:space="0" w:color="D5DBE5"/>
              <w:left w:val="single" w:sz="6" w:space="0" w:color="D5DBE5"/>
              <w:bottom w:val="single" w:sz="6" w:space="0" w:color="D5DBE5"/>
              <w:right w:val="single" w:sz="6" w:space="0" w:color="D5DBE5"/>
            </w:tcBorders>
            <w:tcMar>
              <w:top w:w="170" w:type="dxa"/>
              <w:start w:w="180" w:type="dxa"/>
              <w:bottom w:w="660" w:type="dxa"/>
              <w:end w:w="180" w:type="dxa"/>
            </w:tcMar>
          </w:tcPr>
          <w:p>
            <w:pPr>
              <w:spacing w:before="20" w:after="60" w:line="259" w:lineRule="auto"/>
            </w:pPr>
            <w:r>
              <w:rPr>
                <w:rFonts w:ascii="Times New Roman" w:hAnsi="Times New Roman"/>
                <w:b w:val="0"/>
                <w:i w:val="0"/>
                <w:color w:val="0E2243"/>
                <w:sz w:val="24"/>
                <w:spacing w:val="0"/>
              </w:rPr>
            </w:r>
          </w:p>
        </w:tc>
      </w:tr>
    </w:tbl>
    <w:p>
      <w:pPr>
        <w:spacing w:before="20" w:after="160" w:line="259" w:lineRule="auto"/>
      </w:pPr>
      <w:r>
        <w:rPr>
          <w:rFonts w:ascii="Times New Roman" w:hAnsi="Times New Roman"/>
          <w:b w:val="0"/>
          <w:i w:val="0"/>
          <w:color w:val="0E2243"/>
          <w:sz w:val="24"/>
          <w:spacing w:val="0"/>
        </w:rPr>
      </w:r>
    </w:p>
    <w:p>
      <w:pPr>
        <w:spacing w:before="200" w:after="100" w:line="259" w:lineRule="auto"/>
      </w:pPr>
      <w:r>
        <w:rPr>
          <w:rFonts w:ascii="Times New Roman" w:hAnsi="Times New Roman"/>
          <w:b/>
          <w:i w:val="0"/>
          <w:color w:val="1B4F46"/>
          <w:sz w:val="28"/>
          <w:spacing w:val="0"/>
        </w:rPr>
        <w:t>District Follow-Through</w:t>
      </w:r>
    </w:p>
    <w:tbl>
      <w:tblPr>
        <w:tblStyle w:val="TableGrid"/>
        <w:tblW w:type="dxa" w:w="10080"/>
        <w:tblLook w:firstColumn="1" w:firstRow="1" w:lastColumn="0" w:lastRow="0" w:noHBand="0" w:noVBand="1" w:val="04A0"/>
        <w:tblLayout w:type="fixed"/>
      </w:tblPr>
      <w:tblGrid>
        <w:gridCol w:w="10080"/>
      </w:tblGrid>
      <w:tr>
        <w:tc>
          <w:tcPr>
            <w:tcW w:type="dxa" w:w="10080"/>
            <w:shd w:fill="F2F7F5"/>
            <w:tcBorders>
              <w:top w:val="single" w:sz="8" w:space="0" w:color="BFD5D0"/>
              <w:left w:val="single" w:sz="8" w:space="0" w:color="BFD5D0"/>
              <w:bottom w:val="single" w:sz="8" w:space="0" w:color="BFD5D0"/>
              <w:right w:val="single" w:sz="8" w:space="0" w:color="BFD5D0"/>
            </w:tcBorders>
            <w:tcMar>
              <w:top w:w="180" w:type="dxa"/>
              <w:start w:w="220" w:type="dxa"/>
              <w:bottom w:w="170" w:type="dxa"/>
              <w:end w:w="220" w:type="dxa"/>
            </w:tcMar>
          </w:tcPr>
          <w:p>
            <w:pPr>
              <w:spacing w:after="100"/>
            </w:pPr>
            <w:r>
              <w:rPr>
                <w:rFonts w:ascii="Times New Roman" w:hAnsi="Times New Roman"/>
                <w:b/>
                <w:i w:val="0"/>
                <w:color w:val="1B4F46"/>
                <w:sz w:val="26"/>
                <w:spacing w:val="0"/>
              </w:rPr>
              <w:t>How the district supports implementation</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Provide clear readiness language, examples, templates, and communication tools so buildings do not have to invent the framework.</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Review building plans to confirm that grade-band expectations are clear, realistic, and aligned to the district model.</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Use quarterly building updates to identify cross-building patterns, access gaps, implementation barriers, and support needs.</w:t>
            </w:r>
          </w:p>
          <w:p>
            <w:pPr>
              <w:spacing w:before="0" w:after="60" w:line="259" w:lineRule="auto"/>
              <w:ind w:left="317" w:hanging="173"/>
            </w:pPr>
            <w:r>
              <w:rPr>
                <w:rFonts w:ascii="Times New Roman" w:hAnsi="Times New Roman"/>
                <w:b w:val="0"/>
                <w:i w:val="0"/>
                <w:color w:val="0E2243"/>
                <w:sz w:val="24"/>
                <w:spacing w:val="0"/>
              </w:rPr>
              <w:t xml:space="preserve">- </w:t>
            </w:r>
            <w:r>
              <w:rPr>
                <w:rFonts w:ascii="Times New Roman" w:hAnsi="Times New Roman"/>
                <w:b w:val="0"/>
                <w:i w:val="0"/>
                <w:color w:val="0E2243"/>
                <w:sz w:val="24"/>
                <w:spacing w:val="0"/>
              </w:rPr>
              <w:t>Provide professional learning, coaching, partnership support, and problem-solving help when buildings encounter barriers.</w:t>
            </w:r>
          </w:p>
        </w:tc>
      </w:tr>
    </w:tbl>
    <w:p>
      <w:pPr>
        <w:spacing w:before="20" w:after="140" w:line="259" w:lineRule="auto"/>
      </w:pPr>
      <w:r>
        <w:rPr>
          <w:rFonts w:ascii="Times New Roman" w:hAnsi="Times New Roman"/>
          <w:b w:val="0"/>
          <w:i w:val="0"/>
          <w:color w:val="0E2243"/>
          <w:sz w:val="24"/>
          <w:spacing w:val="0"/>
        </w:rPr>
      </w:r>
    </w:p>
    <w:sectPr w:rsidR="00FC693F" w:rsidRPr="0006063C" w:rsidSect="00034616">
      <w:pgSz w:w="12240" w:h="15840"/>
      <w:pgMar w:top="1037" w:right="1080" w:bottom="1037"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before="0" w:after="6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z w:val="24"/>
      <w:szCs w:val="24"/>
    </w:rPr>
  </w:style>
  <w:style w:type="paragraph" w:styleId="ListParagraph">
    <w:name w:val="List Paragraph"/>
    <w:basedOn w:val="Normal"/>
    <w:uiPriority w:val="34"/>
    <w:qFormat/>
    <w:rsid w:val="00FC693F"/>
    <w:pPr>
      <w:spacing w:line="259" w:lineRule="auto" w:before="0" w:after="60"/>
      <w:ind w:left="720"/>
      <w:contextualSpacing/>
    </w:pPr>
    <w:rPr>
      <w:rFonts w:ascii="Times New Roman" w:hAnsi="Times New Roman"/>
      <w:sz w:val="24"/>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line="259" w:lineRule="auto" w:before="0" w:after="60"/>
      <w:contextualSpacing/>
    </w:pPr>
    <w:rPr>
      <w:rFonts w:ascii="Times New Roman" w:hAnsi="Times New Roman"/>
      <w:sz w:val="24"/>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u w:val="single"/>
    </w:rPr>
  </w:style>
  <w:style w:type="character" w:styleId="BookTitle">
    <w:name w:val="Book Title"/>
    <w:basedOn w:val="DefaultParagraphFont"/>
    <w:uiPriority w:val="33"/>
    <w:qFormat/>
    <w:rsid w:val="00FC693F"/>
    <w:rPr>
      <w:b/>
      <w:bCs/>
      <w:smallCaps/>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static.battelleforkids.org/documents/p21/P21_ELF_Framework_Final_20pgs.pdf" TargetMode="External"/><Relationship Id="rId10" Type="http://schemas.openxmlformats.org/officeDocument/2006/relationships/hyperlink" Target="https://www.pa.gov/agencies/education/resources/student/career-ready-pa/pennsylvania-career-ready-skills/pa-career-ready-skills-toolkit" TargetMode="External"/><Relationship Id="rId11" Type="http://schemas.openxmlformats.org/officeDocument/2006/relationships/hyperlink" Target="https://www.schoolcounselor.org/Standards-Positions/Standards/ASCA-Mindsets-Behaviors-for-Student-Success" TargetMode="External"/><Relationship Id="rId12" Type="http://schemas.openxmlformats.org/officeDocument/2006/relationships/hyperlink" Target="https://www.kuder.com/blog/five-simple-strategies-to-bring-career-awareness-into-your-elementary-classroom/" TargetMode="External"/><Relationship Id="rId13" Type="http://schemas.openxmlformats.org/officeDocument/2006/relationships/hyperlink" Target="https://www.careeronestop.org/Videos/CareerVideos/career-videos.aspx" TargetMode="External"/><Relationship Id="rId14" Type="http://schemas.openxmlformats.org/officeDocument/2006/relationships/hyperlink" Target="https://www.naeyc.org/resources/pubs/yc/mar2015/using-blocks" TargetMode="External"/><Relationship Id="rId15" Type="http://schemas.openxmlformats.org/officeDocument/2006/relationships/hyperlink" Target="https://www.careeronestop.org/ExploreCareers/explore-careers.aspx" TargetMode="External"/><Relationship Id="rId16" Type="http://schemas.openxmlformats.org/officeDocument/2006/relationships/hyperlink" Target="https://pz.harvard.edu/thinking-routines" TargetMode="External"/><Relationship Id="rId17" Type="http://schemas.openxmlformats.org/officeDocument/2006/relationships/hyperlink" Target="https://www.commonsense.org/education/digital-literacy" TargetMode="External"/><Relationship Id="rId18" Type="http://schemas.openxmlformats.org/officeDocument/2006/relationships/hyperlink" Target="https://www.eleducation.org/models-of-excellence" TargetMode="External"/><Relationship Id="rId19" Type="http://schemas.openxmlformats.org/officeDocument/2006/relationships/hyperlink" Target="https://econedlink.org/resources/money-comes-and-goes/" TargetMode="External"/><Relationship Id="rId20" Type="http://schemas.openxmlformats.org/officeDocument/2006/relationships/hyperlink" Target="https://careertech.org/career-clusters" TargetMode="External"/><Relationship Id="rId21" Type="http://schemas.openxmlformats.org/officeDocument/2006/relationships/hyperlink" Target="https://www.mynextmove.org/explore/ip" TargetMode="External"/><Relationship Id="rId22" Type="http://schemas.openxmlformats.org/officeDocument/2006/relationships/hyperlink" Target="https://www.onetonline.org/help/onet/mynextmove" TargetMode="External"/><Relationship Id="rId23" Type="http://schemas.openxmlformats.org/officeDocument/2006/relationships/hyperlink" Target="https://education.ohio.gov/Topics/Career-Tech/Career-Connections/Career-Connections-Framework" TargetMode="External"/><Relationship Id="rId24" Type="http://schemas.openxmlformats.org/officeDocument/2006/relationships/hyperlink" Target="https://www.careeronestop.org/ExploreCareers/Assessments/interests.aspx" TargetMode="External"/><Relationship Id="rId25" Type="http://schemas.openxmlformats.org/officeDocument/2006/relationships/hyperlink" Target="https://www.onetcenter.org/tools.html" TargetMode="External"/><Relationship Id="rId26" Type="http://schemas.openxmlformats.org/officeDocument/2006/relationships/hyperlink" Target="https://grow.google/applied-digital-skills/" TargetMode="External"/><Relationship Id="rId27" Type="http://schemas.openxmlformats.org/officeDocument/2006/relationships/hyperlink" Target="https://ies.ed.gov/sites/default/files/rel-central/document/2025/11/RELCETipGoalSetting.pdf" TargetMode="External"/><Relationship Id="rId28" Type="http://schemas.openxmlformats.org/officeDocument/2006/relationships/hyperlink" Target="https://www.ed.gov/higher-education/career-pathways" TargetMode="External"/><Relationship Id="rId29" Type="http://schemas.openxmlformats.org/officeDocument/2006/relationships/hyperlink" Target="https://www.naceweb.org/career-readiness/competencies/career-readiness-defined" TargetMode="External"/><Relationship Id="rId30" Type="http://schemas.openxmlformats.org/officeDocument/2006/relationships/hyperlink" Target="https://www.fcps.edu/academics/academic-and-career-plans/high-school" TargetMode="External"/><Relationship Id="rId31" Type="http://schemas.openxmlformats.org/officeDocument/2006/relationships/hyperlink" Target="https://www.careeronestop.org/ExploreCareers/Assessments/self-assessments.aspx" TargetMode="External"/><Relationship Id="rId32" Type="http://schemas.openxmlformats.org/officeDocument/2006/relationships/hyperlink" Target="https://studentaid.gov/resources/prepare-for-college" TargetMode="External"/><Relationship Id="rId33" Type="http://schemas.openxmlformats.org/officeDocument/2006/relationships/hyperlink" Target="https://www.apprenticeship.gov/career-seekers" TargetMode="External"/><Relationship Id="rId34" Type="http://schemas.openxmlformats.org/officeDocument/2006/relationships/hyperlink" Target="https://studentaid.gov/articles/things-you-need-for-fafsa/" TargetMode="External"/><Relationship Id="rId35" Type="http://schemas.openxmlformats.org/officeDocument/2006/relationships/hyperlink" Target="https://studentaid.gov/articles/steps-students-filling-out-fafsa-form/" TargetMode="External"/><Relationship Id="rId36" Type="http://schemas.openxmlformats.org/officeDocument/2006/relationships/hyperlink" Target="https://www.careeronestop.org/FindTraining/Types/certification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Building Implementation Guide Prototype - Domain 2 Grade-Band V1</dc:title>
  <dc:subject>Master Building Implementation Guide prototype with Domain 1 developed</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