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864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DE2EC"/>
          <w:left w:val="single" w:sz="6" w:space="0" w:color="DDE2EC"/>
          <w:bottom w:val="single" w:sz="6" w:space="0" w:color="DDE2EC"/>
          <w:right w:val="single" w:sz="6" w:space="0" w:color="DDE2EC"/>
          <w:insideH w:val="single" w:sz="6" w:space="0" w:color="DDE2EC"/>
          <w:insideV w:val="single" w:sz="6" w:space="0" w:color="DDE2EC"/>
        </w:tblBorders>
      </w:tblPr>
      <w:tblGrid>
        <w:gridCol w:w="9864"/>
      </w:tblGrid>
      <w:tr>
        <w:tc>
          <w:tcPr>
            <w:tcW w:type="dxa" w:w="9864"/>
            <w:shd w:fill="1B4F46"/>
            <w:tcMar>
              <w:top w:w="210" w:type="dxa"/>
              <w:start w:w="240" w:type="dxa"/>
              <w:bottom w:w="220" w:type="dxa"/>
              <w:end w:w="240" w:type="dxa"/>
            </w:tcMar>
          </w:tcPr>
          <w:p>
            <w:pPr>
              <w:spacing w:after="140"/>
              <w:jc w:val="center"/>
            </w:pPr>
            <w:r>
              <w:rPr>
                <w:rFonts w:ascii="Georgia" w:hAnsi="Georgia"/>
                <w:b/>
                <w:color w:val="C8A94A"/>
                <w:sz w:val="28"/>
              </w:rPr>
              <w:t>Tool 4</w:t>
            </w:r>
          </w:p>
          <w:p>
            <w:pPr>
              <w:spacing w:after="80"/>
              <w:jc w:val="center"/>
            </w:pPr>
            <w:r>
              <w:rPr>
                <w:rFonts w:ascii="Georgia" w:hAnsi="Georgia"/>
                <w:b/>
                <w:color w:val="FFFFFF"/>
                <w:sz w:val="40"/>
              </w:rPr>
              <w:t>Tier 3 Intensive Support and Partnership Planner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DDE9E5"/>
                <w:sz w:val="24"/>
              </w:rPr>
              <w:t>Coordinated Student Support System | Phase 4 Intensive Individualized Framework</w:t>
            </w:r>
          </w:p>
        </w:tc>
      </w:tr>
    </w:tbl>
    <w:p/>
    <w:tbl>
      <w:tblPr>
        <w:tblW w:type="dxa" w:w="9864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DE2EC"/>
          <w:left w:val="single" w:sz="6" w:space="0" w:color="DDE2EC"/>
          <w:bottom w:val="single" w:sz="6" w:space="0" w:color="DDE2EC"/>
          <w:right w:val="single" w:sz="6" w:space="0" w:color="DDE2EC"/>
          <w:insideH w:val="single" w:sz="6" w:space="0" w:color="DDE2EC"/>
          <w:insideV w:val="single" w:sz="6" w:space="0" w:color="DDE2EC"/>
        </w:tblBorders>
      </w:tblPr>
      <w:tblGrid>
        <w:gridCol w:w="9864"/>
      </w:tblGrid>
      <w:tr>
        <w:tc>
          <w:tcPr>
            <w:tcW w:type="dxa" w:w="9864"/>
            <w:shd w:fill="EEF6F3"/>
            <w:tcMar>
              <w:top w:w="140" w:type="dxa"/>
              <w:start w:w="170" w:type="dxa"/>
              <w:bottom w:w="140" w:type="dxa"/>
              <w:end w:w="170" w:type="dxa"/>
            </w:tcMar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color w:val="0E2243"/>
                <w:sz w:val="24"/>
              </w:rPr>
              <w:t xml:space="preserve">Purpose: </w:t>
            </w:r>
            <w:r>
              <w:rPr>
                <w:rFonts w:ascii="Times New Roman" w:hAnsi="Times New Roman"/>
                <w:color w:val="1E2A3A"/>
                <w:sz w:val="24"/>
              </w:rPr>
              <w:t>This tool is used when student needs are persistent, complex, or high-risk and extend beyond routine Tier 2 building supports. It guides the coordination of Specialized Support Staff, vetted community resource partners, and safe, supportive school re-entry planning.</w:t>
            </w:r>
          </w:p>
        </w:tc>
      </w:tr>
    </w:tbl>
    <w:p/>
    <w:p>
      <w:pPr>
        <w:pStyle w:val="Heading1"/>
      </w:pPr>
      <w:r>
        <w:t>Part 1: Pre-Launch District Partner Mapping</w:t>
      </w:r>
    </w:p>
    <w:p>
      <w:r>
        <w:t>To protect staff from searching for specialized resources in real time during an urgent or complex student need, the district pre-populates this directory with vetted community partners and approved contact procedures.</w:t>
      </w:r>
    </w:p>
    <w:tbl>
      <w:tblPr>
        <w:tblW w:type="dxa" w:w="9864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DE2EC"/>
          <w:left w:val="single" w:sz="6" w:space="0" w:color="DDE2EC"/>
          <w:bottom w:val="single" w:sz="6" w:space="0" w:color="DDE2EC"/>
          <w:right w:val="single" w:sz="6" w:space="0" w:color="DDE2EC"/>
          <w:insideH w:val="single" w:sz="6" w:space="0" w:color="DDE2EC"/>
          <w:insideV w:val="single" w:sz="6" w:space="0" w:color="DDE2EC"/>
        </w:tblBorders>
      </w:tblPr>
      <w:tblGrid>
        <w:gridCol w:w="2376"/>
        <w:gridCol w:w="2520"/>
        <w:gridCol w:w="3240"/>
        <w:gridCol w:w="1728"/>
      </w:tblGrid>
      <w:tr>
        <w:tc>
          <w:tcPr>
            <w:tcW w:type="dxa" w:w="2376"/>
            <w:shd w:fill="1B4F4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/>
                <w:color w:val="FFFFFF"/>
                <w:sz w:val="22"/>
              </w:rPr>
              <w:t>Partner Category</w:t>
            </w:r>
          </w:p>
        </w:tc>
        <w:tc>
          <w:tcPr>
            <w:tcW w:type="dxa" w:w="2520"/>
            <w:shd w:fill="1B4F4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/>
                <w:color w:val="FFFFFF"/>
                <w:sz w:val="22"/>
              </w:rPr>
              <w:t>Approved Agency / Partner Name</w:t>
            </w:r>
          </w:p>
        </w:tc>
        <w:tc>
          <w:tcPr>
            <w:tcW w:type="dxa" w:w="3240"/>
            <w:shd w:fill="1B4F4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/>
                <w:color w:val="FFFFFF"/>
                <w:sz w:val="22"/>
              </w:rPr>
              <w:t>Core Services Profile</w:t>
            </w:r>
          </w:p>
        </w:tc>
        <w:tc>
          <w:tcPr>
            <w:tcW w:type="dxa" w:w="1728"/>
            <w:shd w:fill="1B4F4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/>
                <w:color w:val="FFFFFF"/>
                <w:sz w:val="22"/>
              </w:rPr>
              <w:t>Primary Contact Method</w:t>
            </w:r>
          </w:p>
        </w:tc>
      </w:tr>
      <w:tr>
        <w:tc>
          <w:tcPr>
            <w:tcW w:type="dxa" w:w="2376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Crisis intervention and mobile response</w:t>
            </w:r>
          </w:p>
        </w:tc>
        <w:tc>
          <w:tcPr>
            <w:tcW w:type="dxa" w:w="252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[Insert local mobile crisis partner]</w:t>
            </w:r>
          </w:p>
        </w:tc>
        <w:tc>
          <w:tcPr>
            <w:tcW w:type="dxa" w:w="3240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Emergency psychiatric evaluation; mobile stabilization; acute crisis support.</w:t>
            </w:r>
          </w:p>
        </w:tc>
        <w:tc>
          <w:tcPr>
            <w:tcW w:type="dxa" w:w="1728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Phone:</w:t>
              <w:br/>
              <w:t>Email:</w:t>
            </w:r>
          </w:p>
        </w:tc>
      </w:tr>
      <w:tr>
        <w:tc>
          <w:tcPr>
            <w:tcW w:type="dxa" w:w="2376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School-based mental health clinic</w:t>
            </w:r>
          </w:p>
        </w:tc>
        <w:tc>
          <w:tcPr>
            <w:tcW w:type="dxa" w:w="252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[Insert on-site mental health partner]</w:t>
            </w:r>
          </w:p>
        </w:tc>
        <w:tc>
          <w:tcPr>
            <w:tcW w:type="dxa" w:w="3240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On-site therapy; trauma-informed counseling; family psychiatric navigation.</w:t>
            </w:r>
          </w:p>
        </w:tc>
        <w:tc>
          <w:tcPr>
            <w:tcW w:type="dxa" w:w="1728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Phone:</w:t>
              <w:br/>
              <w:t>Email:</w:t>
            </w:r>
          </w:p>
        </w:tc>
      </w:tr>
      <w:tr>
        <w:tc>
          <w:tcPr>
            <w:tcW w:type="dxa" w:w="2376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Outpatient community provider</w:t>
            </w:r>
          </w:p>
        </w:tc>
        <w:tc>
          <w:tcPr>
            <w:tcW w:type="dxa" w:w="252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[Insert vetted outpatient partner]</w:t>
            </w:r>
          </w:p>
        </w:tc>
        <w:tc>
          <w:tcPr>
            <w:tcW w:type="dxa" w:w="3240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Intensive therapy; specialized grief counseling; youth support networks.</w:t>
            </w:r>
          </w:p>
        </w:tc>
        <w:tc>
          <w:tcPr>
            <w:tcW w:type="dxa" w:w="1728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Phone:</w:t>
              <w:br/>
              <w:t>Email:</w:t>
            </w:r>
          </w:p>
        </w:tc>
      </w:tr>
      <w:tr>
        <w:tc>
          <w:tcPr>
            <w:tcW w:type="dxa" w:w="2376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Social services and basic needs</w:t>
            </w:r>
          </w:p>
        </w:tc>
        <w:tc>
          <w:tcPr>
            <w:tcW w:type="dxa" w:w="252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[Insert local social services partner]</w:t>
            </w:r>
          </w:p>
        </w:tc>
        <w:tc>
          <w:tcPr>
            <w:tcW w:type="dxa" w:w="3240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Housing stabilization; food security networks; comprehensive family case management.</w:t>
            </w:r>
          </w:p>
        </w:tc>
        <w:tc>
          <w:tcPr>
            <w:tcW w:type="dxa" w:w="1728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Phone:</w:t>
              <w:br/>
              <w:t>Email:</w:t>
            </w:r>
          </w:p>
        </w:tc>
      </w:tr>
    </w:tbl>
    <w:p/>
    <w:p>
      <w:pPr>
        <w:pStyle w:val="Heading1"/>
      </w:pPr>
      <w:r>
        <w:t>Part 2: Tier 3 Collaborative System Guardrails</w:t>
      </w:r>
    </w:p>
    <w:p>
      <w:r>
        <w:t>Tier 3 planning involves complex privacy, family, specialized support, and safety boundaries. Building teams review and check off these commitments during the planning session to ensure alignment.</w:t>
      </w:r>
    </w:p>
    <w:tbl>
      <w:tblPr>
        <w:tblW w:type="dxa" w:w="9864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DE2EC"/>
          <w:left w:val="single" w:sz="6" w:space="0" w:color="DDE2EC"/>
          <w:bottom w:val="single" w:sz="6" w:space="0" w:color="DDE2EC"/>
          <w:right w:val="single" w:sz="6" w:space="0" w:color="DDE2EC"/>
          <w:insideH w:val="single" w:sz="6" w:space="0" w:color="DDE2EC"/>
          <w:insideV w:val="single" w:sz="6" w:space="0" w:color="DDE2EC"/>
        </w:tblBorders>
      </w:tblPr>
      <w:tblGrid>
        <w:gridCol w:w="9864"/>
      </w:tblGrid>
      <w:tr>
        <w:tc>
          <w:tcPr>
            <w:tcW w:type="dxa" w:w="9864"/>
            <w:shd w:fill="FBF5E6"/>
            <w:tcMar>
              <w:top w:w="140" w:type="dxa"/>
              <w:start w:w="170" w:type="dxa"/>
              <w:bottom w:w="140" w:type="dxa"/>
              <w:end w:w="170" w:type="dxa"/>
            </w:tcMar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color w:val="0E2243"/>
                <w:sz w:val="24"/>
              </w:rPr>
              <w:t xml:space="preserve">Privacy Reminder: </w:t>
            </w:r>
            <w:r>
              <w:rPr>
                <w:rFonts w:ascii="Times New Roman" w:hAnsi="Times New Roman"/>
                <w:color w:val="1E2A3A"/>
                <w:sz w:val="24"/>
              </w:rPr>
              <w:t>Before sharing student information with an outside agency, confirm that the district-required Release of Information is signed and on file.</w:t>
            </w:r>
          </w:p>
        </w:tc>
      </w:tr>
    </w:tbl>
    <w:p/>
    <w:tbl>
      <w:tblPr>
        <w:tblW w:type="dxa" w:w="9863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DE2EC"/>
          <w:left w:val="single" w:sz="6" w:space="0" w:color="DDE2EC"/>
          <w:bottom w:val="single" w:sz="6" w:space="0" w:color="DDE2EC"/>
          <w:right w:val="single" w:sz="6" w:space="0" w:color="DDE2EC"/>
          <w:insideH w:val="single" w:sz="6" w:space="0" w:color="DDE2EC"/>
          <w:insideV w:val="single" w:sz="6" w:space="0" w:color="DDE2EC"/>
        </w:tblBorders>
      </w:tblPr>
      <w:tblGrid>
        <w:gridCol w:w="1295"/>
        <w:gridCol w:w="2519"/>
        <w:gridCol w:w="6047"/>
      </w:tblGrid>
      <w:tr>
        <w:tc>
          <w:tcPr>
            <w:tcW w:type="dxa" w:w="1295"/>
            <w:shd w:fill="1B4F4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/>
                <w:color w:val="FFFFFF"/>
                <w:sz w:val="22"/>
              </w:rPr>
              <w:t>Confirm</w:t>
            </w:r>
          </w:p>
        </w:tc>
        <w:tc>
          <w:tcPr>
            <w:tcW w:type="dxa" w:w="2519"/>
            <w:shd w:fill="1B4F4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/>
                <w:color w:val="FFFFFF"/>
                <w:sz w:val="22"/>
              </w:rPr>
              <w:t>System Guardrail</w:t>
            </w:r>
          </w:p>
        </w:tc>
        <w:tc>
          <w:tcPr>
            <w:tcW w:type="dxa" w:w="6047"/>
            <w:shd w:fill="1B4F4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/>
                <w:color w:val="FFFFFF"/>
                <w:sz w:val="22"/>
              </w:rPr>
              <w:t>Administrative Commitment</w:t>
            </w:r>
          </w:p>
        </w:tc>
      </w:tr>
      <w:tr>
        <w:tc>
          <w:tcPr>
            <w:tcW w:type="dxa" w:w="1295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[ ]</w:t>
            </w:r>
          </w:p>
        </w:tc>
        <w:tc>
          <w:tcPr>
            <w:tcW w:type="dxa" w:w="2519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Proactive resource mapping</w:t>
            </w:r>
          </w:p>
        </w:tc>
        <w:tc>
          <w:tcPr>
            <w:tcW w:type="dxa" w:w="6047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Establish trusted partner relationships and clear specialized staff roles before high-risk needs emerge in the building.</w:t>
            </w:r>
          </w:p>
        </w:tc>
      </w:tr>
      <w:tr>
        <w:tc>
          <w:tcPr>
            <w:tcW w:type="dxa" w:w="1295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[ ]</w:t>
            </w:r>
          </w:p>
        </w:tc>
        <w:tc>
          <w:tcPr>
            <w:tcW w:type="dxa" w:w="2519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Consent and release boundary</w:t>
            </w:r>
          </w:p>
        </w:tc>
        <w:tc>
          <w:tcPr>
            <w:tcW w:type="dxa" w:w="6047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School staff may facilitate connections to outside supports, but student information is not shared with outside agencies without the district-required signed Release of Information.</w:t>
            </w:r>
          </w:p>
        </w:tc>
      </w:tr>
      <w:tr>
        <w:tc>
          <w:tcPr>
            <w:tcW w:type="dxa" w:w="1295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[ ]</w:t>
            </w:r>
          </w:p>
        </w:tc>
        <w:tc>
          <w:tcPr>
            <w:tcW w:type="dxa" w:w="2519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Emergency procedures remain primary</w:t>
            </w:r>
          </w:p>
        </w:tc>
        <w:tc>
          <w:tcPr>
            <w:tcW w:type="dxa" w:w="6047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If a concern involves active self-harm, threat to others, abuse disclosure, or immediate danger, teams bypass routine MTSS tracks and activate District Emergency Safety Procedures.</w:t>
            </w:r>
          </w:p>
        </w:tc>
      </w:tr>
      <w:tr>
        <w:tc>
          <w:tcPr>
            <w:tcW w:type="dxa" w:w="1295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[ ]</w:t>
            </w:r>
          </w:p>
        </w:tc>
        <w:tc>
          <w:tcPr>
            <w:tcW w:type="dxa" w:w="2519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No building isolation</w:t>
            </w:r>
          </w:p>
        </w:tc>
        <w:tc>
          <w:tcPr>
            <w:tcW w:type="dxa" w:w="6047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When intensive student needs temporarily stretch local staffing or scheduling resources, the principal initiates a request for central district support.</w:t>
            </w:r>
          </w:p>
        </w:tc>
      </w:tr>
      <w:tr>
        <w:tc>
          <w:tcPr>
            <w:tcW w:type="dxa" w:w="1295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[ ]</w:t>
            </w:r>
          </w:p>
        </w:tc>
        <w:tc>
          <w:tcPr>
            <w:tcW w:type="dxa" w:w="2519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System health monitoring</w:t>
            </w:r>
          </w:p>
        </w:tc>
        <w:tc>
          <w:tcPr>
            <w:tcW w:type="dxa" w:w="6047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If a building experiences an unsustainable spike in Tier 3 cases, leadership reviews Tier 1 and Tier 2 implementation integrity.</w:t>
            </w:r>
          </w:p>
        </w:tc>
      </w:tr>
    </w:tbl>
    <w:p/>
    <w:p>
      <w:pPr>
        <w:pStyle w:val="Heading1"/>
      </w:pPr>
      <w:r>
        <w:t>Part 3: Unified School Re-Entry Protocol</w:t>
      </w:r>
    </w:p>
    <w:p>
      <w:r>
        <w:t>When a student experiences a major disruption, such as medical care, extended crisis absence, or a significant school transition, the administrator and counselor use this collaborative checklist to ensure a soft landing.</w:t>
      </w:r>
    </w:p>
    <w:tbl>
      <w:tblPr>
        <w:tblW w:type="dxa" w:w="9864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DE2EC"/>
          <w:left w:val="single" w:sz="6" w:space="0" w:color="DDE2EC"/>
          <w:bottom w:val="single" w:sz="6" w:space="0" w:color="DDE2EC"/>
          <w:right w:val="single" w:sz="6" w:space="0" w:color="DDE2EC"/>
          <w:insideH w:val="single" w:sz="6" w:space="0" w:color="DDE2EC"/>
          <w:insideV w:val="single" w:sz="6" w:space="0" w:color="DDE2EC"/>
        </w:tblBorders>
      </w:tblPr>
      <w:tblGrid>
        <w:gridCol w:w="2376"/>
        <w:gridCol w:w="4680"/>
        <w:gridCol w:w="2808"/>
      </w:tblGrid>
      <w:tr>
        <w:tc>
          <w:tcPr>
            <w:tcW w:type="dxa" w:w="2376"/>
            <w:shd w:fill="1B4F4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/>
                <w:color w:val="FFFFFF"/>
                <w:sz w:val="22"/>
              </w:rPr>
              <w:t>Protocol Step</w:t>
            </w:r>
          </w:p>
        </w:tc>
        <w:tc>
          <w:tcPr>
            <w:tcW w:type="dxa" w:w="4680"/>
            <w:shd w:fill="1B4F4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/>
                <w:color w:val="FFFFFF"/>
                <w:sz w:val="22"/>
              </w:rPr>
              <w:t>Core Action Step</w:t>
            </w:r>
          </w:p>
        </w:tc>
        <w:tc>
          <w:tcPr>
            <w:tcW w:type="dxa" w:w="2808"/>
            <w:shd w:fill="1B4F4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/>
                <w:color w:val="FFFFFF"/>
                <w:sz w:val="22"/>
              </w:rPr>
              <w:t>Supporting Purpose</w:t>
            </w:r>
          </w:p>
        </w:tc>
      </w:tr>
      <w:tr>
        <w:tc>
          <w:tcPr>
            <w:tcW w:type="dxa" w:w="2376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1. Pre-return planning</w:t>
            </w:r>
          </w:p>
        </w:tc>
        <w:tc>
          <w:tcPr>
            <w:tcW w:type="dxa" w:w="468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Hold a private, supportive welcome-back meeting with the student, parent/guardian, counselor, and administrator.</w:t>
            </w:r>
          </w:p>
        </w:tc>
        <w:tc>
          <w:tcPr>
            <w:tcW w:type="dxa" w:w="2808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Re-establish a strong sense of school belonging and coordinate a predictable safety net.</w:t>
            </w:r>
          </w:p>
        </w:tc>
      </w:tr>
      <w:tr>
        <w:tc>
          <w:tcPr>
            <w:tcW w:type="dxa" w:w="2376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2. Academic rescaling</w:t>
            </w:r>
          </w:p>
        </w:tc>
        <w:tc>
          <w:tcPr>
            <w:tcW w:type="dxa" w:w="468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Build a realistic academic restart point. Waive non-essential back assignments when appropriate and prioritize core essential standards.</w:t>
            </w:r>
          </w:p>
        </w:tc>
        <w:tc>
          <w:tcPr>
            <w:tcW w:type="dxa" w:w="2808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Minimize overwhelming academic workloads that can trigger avoidance or school refusal.</w:t>
            </w:r>
          </w:p>
        </w:tc>
      </w:tr>
      <w:tr>
        <w:tc>
          <w:tcPr>
            <w:tcW w:type="dxa" w:w="2376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3. Decompression anchors</w:t>
            </w:r>
          </w:p>
        </w:tc>
        <w:tc>
          <w:tcPr>
            <w:tcW w:type="dxa" w:w="468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Name a specific trusted staff member and a safe location where the student can self-refer if they feel overwhelmed.</w:t>
            </w:r>
          </w:p>
        </w:tc>
        <w:tc>
          <w:tcPr>
            <w:tcW w:type="dxa" w:w="2808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Support active self-regulation and prevent visible behavioral escalation in the classroom.</w:t>
            </w:r>
          </w:p>
        </w:tc>
      </w:tr>
      <w:tr>
        <w:tc>
          <w:tcPr>
            <w:tcW w:type="dxa" w:w="2376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4. Tight monitoring</w:t>
            </w:r>
          </w:p>
        </w:tc>
        <w:tc>
          <w:tcPr>
            <w:tcW w:type="dxa" w:w="468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Convene the support team for a brief check-in five school days following the student's return, or within the district's expected review window.</w:t>
            </w:r>
          </w:p>
        </w:tc>
        <w:tc>
          <w:tcPr>
            <w:tcW w:type="dxa" w:w="2808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Evaluate how the transition plan is holding up and make swift adjustments if needed.</w:t>
            </w:r>
          </w:p>
        </w:tc>
      </w:tr>
    </w:tbl>
    <w:p/>
    <w:tbl>
      <w:tblPr>
        <w:tblW w:type="dxa" w:w="9864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DE2EC"/>
          <w:left w:val="single" w:sz="6" w:space="0" w:color="DDE2EC"/>
          <w:bottom w:val="single" w:sz="6" w:space="0" w:color="DDE2EC"/>
          <w:right w:val="single" w:sz="6" w:space="0" w:color="DDE2EC"/>
          <w:insideH w:val="single" w:sz="6" w:space="0" w:color="DDE2EC"/>
          <w:insideV w:val="single" w:sz="6" w:space="0" w:color="DDE2EC"/>
        </w:tblBorders>
      </w:tblPr>
      <w:tblGrid>
        <w:gridCol w:w="9864"/>
      </w:tblGrid>
      <w:tr>
        <w:tc>
          <w:tcPr>
            <w:tcW w:type="dxa" w:w="9864"/>
            <w:shd w:fill="EEF6F3"/>
            <w:tcMar>
              <w:top w:w="140" w:type="dxa"/>
              <w:start w:w="170" w:type="dxa"/>
              <w:bottom w:w="140" w:type="dxa"/>
              <w:end w:w="170" w:type="dxa"/>
            </w:tcMar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color w:val="0E2243"/>
                <w:sz w:val="24"/>
              </w:rPr>
              <w:t xml:space="preserve">Family Voice: </w:t>
            </w:r>
            <w:r>
              <w:rPr>
                <w:rFonts w:ascii="Times New Roman" w:hAnsi="Times New Roman"/>
                <w:color w:val="1E2A3A"/>
                <w:sz w:val="24"/>
              </w:rPr>
              <w:t>Parent/guardian input should be included in the re-entry plan, and the team should clarify what the family needs to support a safe, sustained return.</w:t>
            </w:r>
          </w:p>
        </w:tc>
      </w:tr>
    </w:tbl>
    <w:p/>
    <w:p>
      <w:pPr>
        <w:pStyle w:val="Heading1"/>
      </w:pPr>
      <w:r>
        <w:t>Part 4: Individualized Tier 3 Planning Workspace</w:t>
      </w:r>
    </w:p>
    <w:p>
      <w:r>
        <w:t>This workspace may be used by district and building teams when the district wants a shared planning record. Buildings may also use the Tier 3 Individualized Student Support Planning Form for student-specific planning.</w:t>
      </w:r>
    </w:p>
    <w:tbl>
      <w:tblPr>
        <w:tblW w:type="dxa" w:w="9864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DE2EC"/>
          <w:left w:val="single" w:sz="6" w:space="0" w:color="DDE2EC"/>
          <w:bottom w:val="single" w:sz="6" w:space="0" w:color="DDE2EC"/>
          <w:right w:val="single" w:sz="6" w:space="0" w:color="DDE2EC"/>
          <w:insideH w:val="single" w:sz="6" w:space="0" w:color="DDE2EC"/>
          <w:insideV w:val="single" w:sz="6" w:space="0" w:color="DDE2EC"/>
        </w:tblBorders>
      </w:tblPr>
      <w:tblGrid>
        <w:gridCol w:w="9864"/>
      </w:tblGrid>
      <w:tr>
        <w:tc>
          <w:tcPr>
            <w:tcW w:type="dxa" w:w="9864"/>
            <w:shd w:fill="FBF5E6"/>
            <w:tcMar>
              <w:top w:w="140" w:type="dxa"/>
              <w:start w:w="170" w:type="dxa"/>
              <w:bottom w:w="140" w:type="dxa"/>
              <w:end w:w="170" w:type="dxa"/>
            </w:tcMar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color w:val="0E2243"/>
                <w:sz w:val="24"/>
              </w:rPr>
              <w:t xml:space="preserve">Privacy Verification: </w:t>
            </w:r>
            <w:r>
              <w:rPr>
                <w:rFonts w:ascii="Times New Roman" w:hAnsi="Times New Roman"/>
                <w:color w:val="1E2A3A"/>
                <w:sz w:val="24"/>
              </w:rPr>
              <w:t>Confirm that a signed Release of Information is on file before communicating student information to outside agencies listed in this plan.</w:t>
            </w:r>
          </w:p>
        </w:tc>
      </w:tr>
    </w:tbl>
    <w:p/>
    <w:tbl>
      <w:tblPr>
        <w:tblW w:type="dxa" w:w="9864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DE2EC"/>
          <w:left w:val="single" w:sz="6" w:space="0" w:color="DDE2EC"/>
          <w:bottom w:val="single" w:sz="6" w:space="0" w:color="DDE2EC"/>
          <w:right w:val="single" w:sz="6" w:space="0" w:color="DDE2EC"/>
          <w:insideH w:val="single" w:sz="6" w:space="0" w:color="DDE2EC"/>
          <w:insideV w:val="single" w:sz="6" w:space="0" w:color="DDE2EC"/>
        </w:tblBorders>
      </w:tblPr>
      <w:tblGrid>
        <w:gridCol w:w="3384"/>
        <w:gridCol w:w="6480"/>
      </w:tblGrid>
      <w:tr>
        <w:tc>
          <w:tcPr>
            <w:tcW w:type="dxa" w:w="3384"/>
            <w:shd w:fill="1B4F4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/>
                <w:color w:val="FFFFFF"/>
                <w:sz w:val="22"/>
              </w:rPr>
              <w:t>Planning Field</w:t>
            </w:r>
          </w:p>
        </w:tc>
        <w:tc>
          <w:tcPr>
            <w:tcW w:type="dxa" w:w="6480"/>
            <w:shd w:fill="1B4F4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/>
                <w:color w:val="FFFFFF"/>
                <w:sz w:val="22"/>
              </w:rPr>
              <w:t>Core Team Entry and Accountability</w:t>
            </w:r>
          </w:p>
        </w:tc>
      </w:tr>
      <w:tr>
        <w:tc>
          <w:tcPr>
            <w:tcW w:type="dxa" w:w="3384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Student name and grade</w:t>
            </w:r>
          </w:p>
        </w:tc>
        <w:tc>
          <w:tcPr>
            <w:tcW w:type="dxa" w:w="648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[Insert student name / grade]</w:t>
            </w:r>
          </w:p>
        </w:tc>
      </w:tr>
      <w:tr>
        <w:tc>
          <w:tcPr>
            <w:tcW w:type="dxa" w:w="3384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Case planning date</w:t>
            </w:r>
          </w:p>
        </w:tc>
        <w:tc>
          <w:tcPr>
            <w:tcW w:type="dxa" w:w="648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[Insert current date]</w:t>
            </w:r>
          </w:p>
        </w:tc>
      </w:tr>
      <w:tr>
        <w:tc>
          <w:tcPr>
            <w:tcW w:type="dxa" w:w="3384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Planning Lead</w:t>
            </w:r>
          </w:p>
        </w:tc>
        <w:tc>
          <w:tcPr>
            <w:tcW w:type="dxa" w:w="648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[Name and role of staff member anchoring this plan]</w:t>
            </w:r>
          </w:p>
        </w:tc>
      </w:tr>
      <w:tr>
        <w:tc>
          <w:tcPr>
            <w:tcW w:type="dxa" w:w="3384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Family Connection Lead</w:t>
            </w:r>
          </w:p>
        </w:tc>
        <w:tc>
          <w:tcPr>
            <w:tcW w:type="dxa" w:w="648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[Name and role of primary point of contact for the family]</w:t>
            </w:r>
          </w:p>
        </w:tc>
      </w:tr>
      <w:tr>
        <w:tc>
          <w:tcPr>
            <w:tcW w:type="dxa" w:w="3384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Central District Support Requested</w:t>
            </w:r>
          </w:p>
        </w:tc>
        <w:tc>
          <w:tcPr>
            <w:tcW w:type="dxa" w:w="648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[ ] Yes  [ ] No  [ ] Pending review</w:t>
            </w:r>
          </w:p>
        </w:tc>
      </w:tr>
      <w:tr>
        <w:tc>
          <w:tcPr>
            <w:tcW w:type="dxa" w:w="3384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Next Tier 3 review date</w:t>
            </w:r>
          </w:p>
        </w:tc>
        <w:tc>
          <w:tcPr>
            <w:tcW w:type="dxa" w:w="648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[Insert date; recommended within 2 to 3 weeks maximum]</w:t>
            </w:r>
          </w:p>
        </w:tc>
      </w:tr>
      <w:tr>
        <w:tc>
          <w:tcPr>
            <w:tcW w:type="dxa" w:w="3384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Privacy Verification</w:t>
            </w:r>
          </w:p>
        </w:tc>
        <w:tc>
          <w:tcPr>
            <w:tcW w:type="dxa" w:w="648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[ ] Verified: signed Release of Information is on file for all outside agencies listed below.</w:t>
            </w:r>
          </w:p>
        </w:tc>
      </w:tr>
    </w:tbl>
    <w:p/>
    <w:p>
      <w:pPr>
        <w:pStyle w:val="Heading2"/>
      </w:pPr>
      <w:r>
        <w:t>Comprehensive Action Planning</w:t>
      </w:r>
    </w:p>
    <w:tbl>
      <w:tblPr>
        <w:tblW w:type="dxa" w:w="9864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DE2EC"/>
          <w:left w:val="single" w:sz="6" w:space="0" w:color="DDE2EC"/>
          <w:bottom w:val="single" w:sz="6" w:space="0" w:color="DDE2EC"/>
          <w:right w:val="single" w:sz="6" w:space="0" w:color="DDE2EC"/>
          <w:insideH w:val="single" w:sz="6" w:space="0" w:color="DDE2EC"/>
          <w:insideV w:val="single" w:sz="6" w:space="0" w:color="DDE2EC"/>
        </w:tblBorders>
      </w:tblPr>
      <w:tblGrid>
        <w:gridCol w:w="3167"/>
        <w:gridCol w:w="6695"/>
      </w:tblGrid>
      <w:tr>
        <w:tc>
          <w:tcPr>
            <w:tcW w:type="dxa" w:w="3167"/>
            <w:shd w:fill="1B4F4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/>
                <w:color w:val="FFFFFF"/>
                <w:sz w:val="22"/>
              </w:rPr>
              <w:t>Planning Area</w:t>
            </w:r>
          </w:p>
        </w:tc>
        <w:tc>
          <w:tcPr>
            <w:tcW w:type="dxa" w:w="6695"/>
            <w:shd w:fill="1B4F4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/>
                <w:color w:val="FFFFFF"/>
                <w:sz w:val="22"/>
              </w:rPr>
              <w:t>Team Notes</w:t>
            </w:r>
          </w:p>
        </w:tc>
      </w:tr>
      <w:tr>
        <w:tc>
          <w:tcPr>
            <w:tcW w:type="dxa" w:w="3167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Complex need summary</w:t>
            </w:r>
          </w:p>
        </w:tc>
        <w:tc>
          <w:tcPr>
            <w:tcW w:type="dxa" w:w="6695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What persistent, compounding, or objective barriers are impacting the student's access to education? Focus strictly on objective, observable information.</w:t>
              <w:br/>
              <w:br/>
              <w:t>Team notes:</w:t>
            </w:r>
          </w:p>
        </w:tc>
      </w:tr>
      <w:tr>
        <w:tc>
          <w:tcPr>
            <w:tcW w:type="dxa" w:w="3167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Sustained school-based supports</w:t>
            </w:r>
          </w:p>
        </w:tc>
        <w:tc>
          <w:tcPr>
            <w:tcW w:type="dxa" w:w="6695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What individualized structural, environmental, or scheduling adjustments will occur within the building immediately to support the student?</w:t>
              <w:br/>
              <w:br/>
              <w:t>Team notes:</w:t>
            </w:r>
          </w:p>
        </w:tc>
      </w:tr>
      <w:tr>
        <w:tc>
          <w:tcPr>
            <w:tcW w:type="dxa" w:w="3167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Family and community support coordination</w:t>
            </w:r>
          </w:p>
        </w:tc>
        <w:tc>
          <w:tcPr>
            <w:tcW w:type="dxa" w:w="6695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What trusted community agency services are currently being explored, and what specific consent or intake steps are the school and family collaborating on next?</w:t>
              <w:br/>
              <w:br/>
              <w:t>Team notes:</w:t>
            </w:r>
          </w:p>
        </w:tc>
      </w:tr>
      <w:tr>
        <w:tc>
          <w:tcPr>
            <w:tcW w:type="dxa" w:w="3167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Transition and safety contingencies</w:t>
            </w:r>
          </w:p>
        </w:tc>
        <w:tc>
          <w:tcPr>
            <w:tcW w:type="dxa" w:w="6695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What specific proactive steps will staff implement if severe emotional dysregulation or acute trauma triggers surface during the routine school day?</w:t>
              <w:br/>
              <w:br/>
              <w:t>Team notes:</w:t>
            </w:r>
          </w:p>
        </w:tc>
      </w:tr>
    </w:tbl>
    <w:p/>
    <w:p>
      <w:pPr>
        <w:pStyle w:val="Heading2"/>
      </w:pPr>
      <w:r>
        <w:t>Signatures of Collaborative Commitment</w:t>
      </w:r>
    </w:p>
    <w:p>
      <w:r>
        <w:t>By signing below, the re-entry and support planning team agree to execute the adjustments outlined in this plan to support the student's safety, well-being, and academic continuity.</w:t>
      </w:r>
    </w:p>
    <w:tbl>
      <w:tblPr>
        <w:tblW w:type="dxa" w:w="9864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DE2EC"/>
          <w:left w:val="single" w:sz="6" w:space="0" w:color="DDE2EC"/>
          <w:bottom w:val="single" w:sz="6" w:space="0" w:color="DDE2EC"/>
          <w:right w:val="single" w:sz="6" w:space="0" w:color="DDE2EC"/>
          <w:insideH w:val="single" w:sz="6" w:space="0" w:color="DDE2EC"/>
          <w:insideV w:val="single" w:sz="6" w:space="0" w:color="DDE2EC"/>
        </w:tblBorders>
      </w:tblPr>
      <w:tblGrid>
        <w:gridCol w:w="3381"/>
        <w:gridCol w:w="4368"/>
        <w:gridCol w:w="2113"/>
      </w:tblGrid>
      <w:tr>
        <w:tc>
          <w:tcPr>
            <w:tcW w:type="dxa" w:w="3381"/>
            <w:shd w:fill="1B4F4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/>
                <w:color w:val="FFFFFF"/>
                <w:sz w:val="22"/>
              </w:rPr>
              <w:t>Role</w:t>
            </w:r>
          </w:p>
        </w:tc>
        <w:tc>
          <w:tcPr>
            <w:tcW w:type="dxa" w:w="4368"/>
            <w:shd w:fill="1B4F4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/>
                <w:color w:val="FFFFFF"/>
                <w:sz w:val="22"/>
              </w:rPr>
              <w:t>Signature</w:t>
            </w:r>
          </w:p>
        </w:tc>
        <w:tc>
          <w:tcPr>
            <w:tcW w:type="dxa" w:w="2113"/>
            <w:shd w:fill="1B4F4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/>
                <w:color w:val="FFFFFF"/>
                <w:sz w:val="22"/>
              </w:rPr>
              <w:t>Date</w:t>
            </w:r>
          </w:p>
        </w:tc>
      </w:tr>
      <w:tr>
        <w:tc>
          <w:tcPr>
            <w:tcW w:type="dxa" w:w="3381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Building Administrator</w:t>
            </w:r>
          </w:p>
        </w:tc>
        <w:tc>
          <w:tcPr>
            <w:tcW w:type="dxa" w:w="4368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</w:r>
          </w:p>
        </w:tc>
        <w:tc>
          <w:tcPr>
            <w:tcW w:type="dxa" w:w="2113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</w:r>
          </w:p>
        </w:tc>
      </w:tr>
      <w:tr>
        <w:tc>
          <w:tcPr>
            <w:tcW w:type="dxa" w:w="3381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School Counselor / Specialist</w:t>
            </w:r>
          </w:p>
        </w:tc>
        <w:tc>
          <w:tcPr>
            <w:tcW w:type="dxa" w:w="4368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</w:r>
          </w:p>
        </w:tc>
        <w:tc>
          <w:tcPr>
            <w:tcW w:type="dxa" w:w="2113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</w:r>
          </w:p>
        </w:tc>
      </w:tr>
      <w:tr>
        <w:tc>
          <w:tcPr>
            <w:tcW w:type="dxa" w:w="3381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Parent / Guardian</w:t>
            </w:r>
          </w:p>
        </w:tc>
        <w:tc>
          <w:tcPr>
            <w:tcW w:type="dxa" w:w="4368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</w:r>
          </w:p>
        </w:tc>
        <w:tc>
          <w:tcPr>
            <w:tcW w:type="dxa" w:w="2113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1008" w:right="1037" w:bottom="1008" w:left="1037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4A5568"/>
        <w:sz w:val="19"/>
      </w:rPr>
      <w:t>The Blueprint Institute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Times New Roman" w:hAnsi="Times New Roman"/>
        <w:color w:val="4A5568"/>
        <w:sz w:val="19"/>
      </w:rPr>
      <w:t>District Tool 4 | Tier 3 Intensive Support and Partnership Planner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76" w:lineRule="auto"/>
    </w:pPr>
    <w:rPr>
      <w:rFonts w:ascii="Times New Roman" w:hAnsi="Times New Roman"/>
      <w:color w:val="1E2A3A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40"/>
      <w:outlineLvl w:val="0"/>
    </w:pPr>
    <w:rPr>
      <w:rFonts w:asciiTheme="majorHAnsi" w:eastAsiaTheme="majorEastAsia" w:hAnsiTheme="majorHAnsi" w:cstheme="majorBidi" w:ascii="Georgia" w:hAnsi="Georgia"/>
      <w:b/>
      <w:bCs/>
      <w:color w:val="1B4F46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Georgia" w:hAnsi="Georgia"/>
      <w:b/>
      <w:bCs/>
      <w:color w:val="0E2243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60"/>
      <w:outlineLvl w:val="2"/>
    </w:pPr>
    <w:rPr>
      <w:rFonts w:asciiTheme="majorHAnsi" w:eastAsiaTheme="majorEastAsia" w:hAnsiTheme="majorHAnsi" w:cstheme="majorBidi" w:ascii="Georgia" w:hAnsi="Georgia"/>
      <w:b/>
      <w:bCs/>
      <w:color w:val="0E2243"/>
      <w:sz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