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9864"/>
      </w:tblGrid>
      <w:tr>
        <w:tc>
          <w:tcPr>
            <w:tcW w:type="dxa" w:w="9864"/>
            <w:shd w:fill="1B4F46"/>
            <w:tcMar>
              <w:top w:w="210" w:type="dxa"/>
              <w:start w:w="240" w:type="dxa"/>
              <w:bottom w:w="220" w:type="dxa"/>
              <w:end w:w="240" w:type="dxa"/>
            </w:tcMar>
          </w:tcPr>
          <w:p>
            <w:pPr>
              <w:spacing w:after="140"/>
              <w:jc w:val="center"/>
            </w:pPr>
            <w:r>
              <w:rPr>
                <w:rFonts w:ascii="Georgia" w:hAnsi="Georgia"/>
                <w:b/>
                <w:color w:val="C8A94A"/>
                <w:sz w:val="28"/>
              </w:rPr>
              <w:t>Tool 3</w:t>
            </w:r>
          </w:p>
          <w:p>
            <w:pPr>
              <w:spacing w:after="80"/>
              <w:jc w:val="center"/>
            </w:pPr>
            <w:r>
              <w:rPr>
                <w:rFonts w:ascii="Georgia" w:hAnsi="Georgia"/>
                <w:b/>
                <w:color w:val="FFFFFF"/>
                <w:sz w:val="40"/>
              </w:rPr>
              <w:t>Active Student Review and Tier 2 Matching Toolkit</w:t>
            </w:r>
          </w:p>
          <w:p>
            <w:pPr>
              <w:spacing w:after="0"/>
              <w:jc w:val="center"/>
            </w:pPr>
            <w:r>
              <w:rPr>
                <w:rFonts w:ascii="Times New Roman" w:hAnsi="Times New Roman"/>
                <w:b/>
                <w:color w:val="DDE9E5"/>
                <w:sz w:val="24"/>
              </w:rPr>
              <w:t>Coordinated Student Support System | Phase 3 Weekly Operational Workspace</w:t>
            </w:r>
          </w:p>
        </w:tc>
      </w:tr>
    </w:tbl>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9864"/>
      </w:tblGrid>
      <w:tr>
        <w:tc>
          <w:tcPr>
            <w:tcW w:type="dxa" w:w="9864"/>
            <w:shd w:fill="EEF6F3"/>
            <w:tcMar>
              <w:top w:w="140" w:type="dxa"/>
              <w:start w:w="170" w:type="dxa"/>
              <w:bottom w:w="140" w:type="dxa"/>
              <w:end w:w="170" w:type="dxa"/>
            </w:tcMar>
          </w:tcPr>
          <w:p>
            <w:pPr>
              <w:spacing w:after="0"/>
            </w:pPr>
            <w:r>
              <w:rPr>
                <w:rFonts w:ascii="Times New Roman" w:hAnsi="Times New Roman"/>
                <w:b/>
                <w:color w:val="0E2243"/>
                <w:sz w:val="24"/>
              </w:rPr>
              <w:t xml:space="preserve">Purpose: </w:t>
            </w:r>
            <w:r>
              <w:rPr>
                <w:rFonts w:ascii="Times New Roman" w:hAnsi="Times New Roman"/>
                <w:color w:val="1E2A3A"/>
                <w:sz w:val="24"/>
              </w:rPr>
              <w:t>This operational toolkit is used by the Student Support Team. It provides a structured meeting sequence, a targeted Tier 2 support menu, and a repeatable action plan for monitoring follow-through.</w:t>
            </w:r>
          </w:p>
        </w:tc>
      </w:tr>
    </w:tbl>
    <w:p/>
    <w:p>
      <w:pPr>
        <w:pStyle w:val="Heading1"/>
      </w:pPr>
      <w:r>
        <w:t>Part 1: Suggested Weekly Meeting Sequence</w:t>
      </w:r>
    </w:p>
    <w:p>
      <w:r>
        <w:t>The sequence below helps prevent meetings from becoming unfocused storytelling or venting. Buildings may adapt the timing, but the order should protect monitoring, new concern review, action assignment, and barrier identification.</w:t>
      </w:r>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1655"/>
        <w:gridCol w:w="2880"/>
        <w:gridCol w:w="5328"/>
      </w:tblGrid>
      <w:tr>
        <w:tc>
          <w:tcPr>
            <w:tcW w:type="dxa" w:w="1655"/>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Suggested Time</w:t>
            </w:r>
          </w:p>
        </w:tc>
        <w:tc>
          <w:tcPr>
            <w:tcW w:type="dxa" w:w="2880"/>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Meeting Segment</w:t>
            </w:r>
          </w:p>
        </w:tc>
        <w:tc>
          <w:tcPr>
            <w:tcW w:type="dxa" w:w="5328"/>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Purpose</w:t>
            </w:r>
          </w:p>
        </w:tc>
      </w:tr>
      <w:tr>
        <w:tc>
          <w:tcPr>
            <w:tcW w:type="dxa" w:w="1655"/>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5 minutes</w:t>
            </w:r>
          </w:p>
        </w:tc>
        <w:tc>
          <w:tcPr>
            <w:tcW w:type="dxa" w:w="288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Roles and logistics</w:t>
            </w:r>
          </w:p>
        </w:tc>
        <w:tc>
          <w:tcPr>
            <w:tcW w:type="dxa" w:w="5328"/>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Confirm the recorder is in the district-approved secure system and the team has the current information visible.</w:t>
            </w:r>
          </w:p>
        </w:tc>
      </w:tr>
      <w:tr>
        <w:tc>
          <w:tcPr>
            <w:tcW w:type="dxa" w:w="1655"/>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15 minutes</w:t>
            </w:r>
          </w:p>
        </w:tc>
        <w:tc>
          <w:tcPr>
            <w:tcW w:type="dxa" w:w="288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Monitor open concerns</w:t>
            </w:r>
          </w:p>
        </w:tc>
        <w:tc>
          <w:tcPr>
            <w:tcW w:type="dxa" w:w="5328"/>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Review students who have reached their follow-up date. Read available evidence and make a follow-up decision.</w:t>
            </w:r>
          </w:p>
        </w:tc>
      </w:tr>
      <w:tr>
        <w:tc>
          <w:tcPr>
            <w:tcW w:type="dxa" w:w="1655"/>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20 minutes</w:t>
            </w:r>
          </w:p>
        </w:tc>
        <w:tc>
          <w:tcPr>
            <w:tcW w:type="dxa" w:w="288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Review new concerns</w:t>
            </w:r>
          </w:p>
        </w:tc>
        <w:tc>
          <w:tcPr>
            <w:tcW w:type="dxa" w:w="5328"/>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Evaluate newly submitted staff concerns, screen out emergency issues, identify patterns, determine the support required to meet the student's needs, assign an Intervention Lead, and set a follow-up date.</w:t>
            </w:r>
          </w:p>
        </w:tc>
      </w:tr>
      <w:tr>
        <w:tc>
          <w:tcPr>
            <w:tcW w:type="dxa" w:w="1655"/>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5 minutes</w:t>
            </w:r>
          </w:p>
        </w:tc>
        <w:tc>
          <w:tcPr>
            <w:tcW w:type="dxa" w:w="288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Administrative barriers</w:t>
            </w:r>
          </w:p>
        </w:tc>
        <w:tc>
          <w:tcPr>
            <w:tcW w:type="dxa" w:w="5328"/>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Identify scheduling, staffing, partnership, or district-level barriers that require action.</w:t>
            </w:r>
          </w:p>
        </w:tc>
      </w:tr>
    </w:tbl>
    <w:p/>
    <w:p>
      <w:pPr>
        <w:pStyle w:val="Heading1"/>
      </w:pPr>
      <w:r>
        <w:t>Part 2: Tier 2 Targeted Support Menu</w:t>
      </w:r>
    </w:p>
    <w:p>
      <w:r>
        <w:t>When a student requires more than universal Tier 1 prevention, the team reviews the concern pattern and determines the support required to meet the student's needs. Avoid defaulting to the same strategy for every student.</w:t>
      </w:r>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2043"/>
        <w:gridCol w:w="2325"/>
        <w:gridCol w:w="3170"/>
        <w:gridCol w:w="2325"/>
      </w:tblGrid>
      <w:tr>
        <w:tc>
          <w:tcPr>
            <w:tcW w:type="dxa" w:w="2043"/>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Targeted Support</w:t>
            </w:r>
          </w:p>
        </w:tc>
        <w:tc>
          <w:tcPr>
            <w:tcW w:type="dxa" w:w="2325"/>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Best Fit For</w:t>
            </w:r>
          </w:p>
        </w:tc>
        <w:tc>
          <w:tcPr>
            <w:tcW w:type="dxa" w:w="3170"/>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What It Includes</w:t>
            </w:r>
          </w:p>
        </w:tc>
        <w:tc>
          <w:tcPr>
            <w:tcW w:type="dxa" w:w="2325"/>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Progress Evidence</w:t>
            </w:r>
          </w:p>
        </w:tc>
      </w:tr>
      <w:tr>
        <w:tc>
          <w:tcPr>
            <w:tcW w:type="dxa" w:w="2043"/>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Check-In / Check-Out</w:t>
            </w:r>
          </w:p>
        </w:tc>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Attendance drops, minor behavior disruption, low motivation.</w:t>
            </w:r>
          </w:p>
        </w:tc>
        <w:tc>
          <w:tcPr>
            <w:tcW w:type="dxa" w:w="317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A designated adult conducts a morning goal check-in and end-of-day reflection.</w:t>
            </w:r>
          </w:p>
        </w:tc>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Daily progress cards; weekly percentage of goals met.</w:t>
            </w:r>
          </w:p>
        </w:tc>
      </w:tr>
      <w:tr>
        <w:tc>
          <w:tcPr>
            <w:tcW w:type="dxa" w:w="2043"/>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Assigned Adult Mentor</w:t>
            </w:r>
          </w:p>
        </w:tc>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Social withdrawal, acute trauma exposure, strong disconnection.</w:t>
            </w:r>
          </w:p>
        </w:tc>
        <w:tc>
          <w:tcPr>
            <w:tcW w:type="dxa" w:w="317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A trusted adult meets with the student on a predictable schedule to build rapport and problem-solve.</w:t>
            </w:r>
          </w:p>
        </w:tc>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Meeting logs; student feedback; growth in belonging.</w:t>
            </w:r>
          </w:p>
        </w:tc>
      </w:tr>
      <w:tr>
        <w:tc>
          <w:tcPr>
            <w:tcW w:type="dxa" w:w="2043"/>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Attendance Problem-Solving</w:t>
            </w:r>
          </w:p>
        </w:tc>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Unexcused absences, morning tardiness, class cutting.</w:t>
            </w:r>
          </w:p>
        </w:tc>
        <w:tc>
          <w:tcPr>
            <w:tcW w:type="dxa" w:w="317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A collaborative student/family conversation identifies barriers and specific supports.</w:t>
            </w:r>
          </w:p>
        </w:tc>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Attendance trends; family check-in notes.</w:t>
            </w:r>
          </w:p>
        </w:tc>
      </w:tr>
      <w:tr>
        <w:tc>
          <w:tcPr>
            <w:tcW w:type="dxa" w:w="2043"/>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Academic Restart Plan</w:t>
            </w:r>
          </w:p>
        </w:tc>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Missing assignments, failing grades, executive function barriers.</w:t>
            </w:r>
          </w:p>
        </w:tc>
        <w:tc>
          <w:tcPr>
            <w:tcW w:type="dxa" w:w="317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A teacher or counselor helps the student create a realistic catch-up routine with priority deadlines.</w:t>
            </w:r>
          </w:p>
        </w:tc>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Work submission rate; grade trajectory.</w:t>
            </w:r>
          </w:p>
        </w:tc>
      </w:tr>
      <w:tr>
        <w:tc>
          <w:tcPr>
            <w:tcW w:type="dxa" w:w="2043"/>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Regulation Support Plan</w:t>
            </w:r>
          </w:p>
        </w:tc>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Repeated dysregulation, shutdown, over-escalation.</w:t>
            </w:r>
          </w:p>
        </w:tc>
        <w:tc>
          <w:tcPr>
            <w:tcW w:type="dxa" w:w="317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The student learns a predictable regulation routine to use before crisis.</w:t>
            </w:r>
          </w:p>
        </w:tc>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Safe routine use; reduction in removals or office referrals.</w:t>
            </w:r>
          </w:p>
        </w:tc>
      </w:tr>
      <w:tr>
        <w:tc>
          <w:tcPr>
            <w:tcW w:type="dxa" w:w="2043"/>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Small-Group Skill Support</w:t>
            </w:r>
          </w:p>
        </w:tc>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Peer conflict, anxiety, grief, or specific social-emotional skill gaps.</w:t>
            </w:r>
          </w:p>
        </w:tc>
        <w:tc>
          <w:tcPr>
            <w:tcW w:type="dxa" w:w="317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A time-bound counselor-led group teaches and practices a targeted skill.</w:t>
            </w:r>
          </w:p>
        </w:tc>
        <w:tc>
          <w:tcPr>
            <w:tcW w:type="dxa" w:w="232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Group attendance; teacher observation of skill use.</w:t>
            </w:r>
          </w:p>
        </w:tc>
      </w:tr>
    </w:tbl>
    <w:p/>
    <w:p>
      <w:pPr>
        <w:pStyle w:val="Heading1"/>
      </w:pPr>
      <w:r>
        <w:t>Part 3: Tier 2 Action Fields to Capture</w:t>
      </w:r>
    </w:p>
    <w:p>
      <w:r>
        <w:t>Buildings may capture these fields on the Student Support Team Review Form or in the district-approved internal tracking system. No concern should remain unassigned.</w:t>
      </w:r>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3311"/>
        <w:gridCol w:w="6552"/>
      </w:tblGrid>
      <w:tr>
        <w:tc>
          <w:tcPr>
            <w:tcW w:type="dxa" w:w="3311"/>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Field</w:t>
            </w:r>
          </w:p>
        </w:tc>
        <w:tc>
          <w:tcPr>
            <w:tcW w:type="dxa" w:w="6552"/>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Team Entry</w:t>
            </w:r>
          </w:p>
        </w:tc>
      </w:tr>
      <w:tr>
        <w:tc>
          <w:tcPr>
            <w:tcW w:type="dxa" w:w="3311"/>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Student name / grade</w:t>
            </w:r>
          </w:p>
        </w:tc>
        <w:tc>
          <w:tcPr>
            <w:tcW w:type="dxa" w:w="655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[Insert student name] / [Insert grade]</w:t>
            </w:r>
          </w:p>
        </w:tc>
      </w:tr>
      <w:tr>
        <w:tc>
          <w:tcPr>
            <w:tcW w:type="dxa" w:w="3311"/>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Primary concern area</w:t>
            </w:r>
          </w:p>
        </w:tc>
        <w:tc>
          <w:tcPr>
            <w:tcW w:type="dxa" w:w="655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Attendance</w:t>
              <w:br/>
              <w:t>[ ] Regulation</w:t>
              <w:br/>
              <w:t>[ ] Academics</w:t>
              <w:br/>
              <w:t>[ ] Withdrawal / connection</w:t>
              <w:br/>
              <w:t>[ ] Behavior</w:t>
              <w:br/>
              <w:t>[ ] Family or wellness concern</w:t>
              <w:br/>
              <w:t>[ ] Other:</w:t>
            </w:r>
          </w:p>
        </w:tc>
      </w:tr>
      <w:tr>
        <w:tc>
          <w:tcPr>
            <w:tcW w:type="dxa" w:w="3311"/>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Support determined by the team</w:t>
            </w:r>
          </w:p>
        </w:tc>
        <w:tc>
          <w:tcPr>
            <w:tcW w:type="dxa" w:w="655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 Check-In / Check-Out</w:t>
              <w:br/>
              <w:t>[ ] Assigned Adult Mentor</w:t>
              <w:br/>
              <w:t>[ ] Attendance Problem-Solving</w:t>
              <w:br/>
              <w:t>[ ] Academic Restart Plan</w:t>
              <w:br/>
              <w:t>[ ] Regulation Support Plan</w:t>
              <w:br/>
              <w:t>[ ] Small-Group Skill Support</w:t>
              <w:br/>
              <w:t>[ ] Other:</w:t>
            </w:r>
          </w:p>
        </w:tc>
      </w:tr>
      <w:tr>
        <w:tc>
          <w:tcPr>
            <w:tcW w:type="dxa" w:w="3311"/>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Intervention Lead</w:t>
            </w:r>
          </w:p>
        </w:tc>
        <w:tc>
          <w:tcPr>
            <w:tcW w:type="dxa" w:w="655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[Name and role]</w:t>
            </w:r>
          </w:p>
        </w:tc>
      </w:tr>
      <w:tr>
        <w:tc>
          <w:tcPr>
            <w:tcW w:type="dxa" w:w="3311"/>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Intervention start date</w:t>
            </w:r>
          </w:p>
        </w:tc>
        <w:tc>
          <w:tcPr>
            <w:tcW w:type="dxa" w:w="655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[Insert start date]</w:t>
            </w:r>
          </w:p>
        </w:tc>
      </w:tr>
      <w:tr>
        <w:tc>
          <w:tcPr>
            <w:tcW w:type="dxa" w:w="3311"/>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Follow-up review date</w:t>
            </w:r>
          </w:p>
        </w:tc>
        <w:tc>
          <w:tcPr>
            <w:tcW w:type="dxa" w:w="655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[Insert review date]</w:t>
            </w:r>
          </w:p>
        </w:tc>
      </w:tr>
      <w:tr>
        <w:tc>
          <w:tcPr>
            <w:tcW w:type="dxa" w:w="3311"/>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Referring teacher communication date</w:t>
            </w:r>
          </w:p>
        </w:tc>
        <w:tc>
          <w:tcPr>
            <w:tcW w:type="dxa" w:w="655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[Insert date plan was communicated back to referring teacher]</w:t>
              <w:br/>
              <w:t>Communication method: [ ] In person  [ ] Email  [ ] Team note  [ ] Other:</w:t>
            </w:r>
          </w:p>
        </w:tc>
      </w:tr>
    </w:tbl>
    <w:p/>
    <w:p>
      <w:pPr>
        <w:pStyle w:val="Heading2"/>
      </w:pPr>
      <w:r>
        <w:t>Operational Strategy Questions</w:t>
      </w:r>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4031"/>
        <w:gridCol w:w="5832"/>
      </w:tblGrid>
      <w:tr>
        <w:tc>
          <w:tcPr>
            <w:tcW w:type="dxa" w:w="4031"/>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Question</w:t>
            </w:r>
          </w:p>
        </w:tc>
        <w:tc>
          <w:tcPr>
            <w:tcW w:type="dxa" w:w="5832"/>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Team Response</w:t>
            </w:r>
          </w:p>
        </w:tc>
      </w:tr>
      <w:tr>
        <w:tc>
          <w:tcPr>
            <w:tcW w:type="dxa" w:w="4031"/>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What support will occur and how often?</w:t>
            </w:r>
          </w:p>
        </w:tc>
        <w:tc>
          <w:tcPr>
            <w:tcW w:type="dxa" w:w="583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[Describe the support, schedule, responsible adult, and setting.]</w:t>
            </w:r>
          </w:p>
        </w:tc>
      </w:tr>
      <w:tr>
        <w:tc>
          <w:tcPr>
            <w:tcW w:type="dxa" w:w="4031"/>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What should change if the support is working?</w:t>
            </w:r>
          </w:p>
        </w:tc>
        <w:tc>
          <w:tcPr>
            <w:tcW w:type="dxa" w:w="583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[Name the target evidence the team expects to see.]</w:t>
            </w:r>
          </w:p>
        </w:tc>
      </w:tr>
      <w:tr>
        <w:tc>
          <w:tcPr>
            <w:tcW w:type="dxa" w:w="4031"/>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What will the team do if this support is not helping?</w:t>
            </w:r>
          </w:p>
        </w:tc>
        <w:tc>
          <w:tcPr>
            <w:tcW w:type="dxa" w:w="583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[Identify the next logical adjustment or intensification step.]</w:t>
            </w:r>
          </w:p>
        </w:tc>
      </w:tr>
    </w:tbl>
    <w:p/>
    <w:p>
      <w:pPr>
        <w:pStyle w:val="Heading1"/>
      </w:pPr>
      <w:r>
        <w:t>Part 4: Follow-Up Decision Matrix</w:t>
      </w:r>
    </w:p>
    <w:tbl>
      <w:tblPr>
        <w:tblW w:type="dxa" w:w="9864"/>
        <w:jc w:val="center"/>
        <w:tblLayout w:type="fixed"/>
        <w:tblLook w:firstColumn="1" w:firstRow="1" w:lastColumn="0" w:lastRow="0" w:noHBand="0" w:noVBand="1" w:val="04A0"/>
        <w:tblBorders>
          <w:top w:val="single" w:sz="6" w:space="0" w:color="DDE2EC"/>
          <w:left w:val="single" w:sz="6" w:space="0" w:color="DDE2EC"/>
          <w:bottom w:val="single" w:sz="6" w:space="0" w:color="DDE2EC"/>
          <w:right w:val="single" w:sz="6" w:space="0" w:color="DDE2EC"/>
          <w:insideH w:val="single" w:sz="6" w:space="0" w:color="DDE2EC"/>
          <w:insideV w:val="single" w:sz="6" w:space="0" w:color="DDE2EC"/>
        </w:tblBorders>
      </w:tblPr>
      <w:tblGrid>
        <w:gridCol w:w="792"/>
        <w:gridCol w:w="1655"/>
        <w:gridCol w:w="3816"/>
        <w:gridCol w:w="3600"/>
      </w:tblGrid>
      <w:tr>
        <w:tc>
          <w:tcPr>
            <w:tcW w:type="dxa" w:w="792"/>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Select</w:t>
            </w:r>
          </w:p>
        </w:tc>
        <w:tc>
          <w:tcPr>
            <w:tcW w:type="dxa" w:w="1655"/>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Decision</w:t>
            </w:r>
          </w:p>
        </w:tc>
        <w:tc>
          <w:tcPr>
            <w:tcW w:type="dxa" w:w="3816"/>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When to Use It</w:t>
            </w:r>
          </w:p>
        </w:tc>
        <w:tc>
          <w:tcPr>
            <w:tcW w:type="dxa" w:w="3600"/>
            <w:shd w:fill="1B4F46"/>
            <w:tcMar>
              <w:top w:w="110" w:type="dxa"/>
              <w:start w:w="120" w:type="dxa"/>
              <w:bottom w:w="110" w:type="dxa"/>
              <w:end w:w="120" w:type="dxa"/>
            </w:tcMar>
            <w:vAlign w:val="center"/>
          </w:tcPr>
          <w:p>
            <w:pPr>
              <w:spacing w:after="0" w:line="259" w:lineRule="auto"/>
              <w:jc w:val="center"/>
            </w:pPr>
            <w:r>
              <w:rPr>
                <w:rFonts w:ascii="Times New Roman" w:hAnsi="Times New Roman"/>
              </w:rPr>
            </w:r>
            <w:r>
              <w:rPr>
                <w:rFonts w:ascii="Times New Roman" w:hAnsi="Times New Roman"/>
                <w:b/>
                <w:color w:val="FFFFFF"/>
                <w:sz w:val="22"/>
              </w:rPr>
              <w:t>Action</w:t>
            </w:r>
          </w:p>
        </w:tc>
      </w:tr>
      <w:tr>
        <w:tc>
          <w:tcPr>
            <w:tcW w:type="dxa" w:w="79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w:t>
            </w:r>
          </w:p>
        </w:tc>
        <w:tc>
          <w:tcPr>
            <w:tcW w:type="dxa" w:w="165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Continue</w:t>
            </w:r>
          </w:p>
        </w:tc>
        <w:tc>
          <w:tcPr>
            <w:tcW w:type="dxa" w:w="3816"/>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The support is helping, but more time is needed.</w:t>
            </w:r>
          </w:p>
        </w:tc>
        <w:tc>
          <w:tcPr>
            <w:tcW w:type="dxa" w:w="360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Maintain the intervention and set a new review date.</w:t>
            </w:r>
          </w:p>
        </w:tc>
      </w:tr>
      <w:tr>
        <w:tc>
          <w:tcPr>
            <w:tcW w:type="dxa" w:w="79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w:t>
            </w:r>
          </w:p>
        </w:tc>
        <w:tc>
          <w:tcPr>
            <w:tcW w:type="dxa" w:w="165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Adjust</w:t>
            </w:r>
          </w:p>
        </w:tc>
        <w:tc>
          <w:tcPr>
            <w:tcW w:type="dxa" w:w="3816"/>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The support is partially helping or implementation is inconsistent.</w:t>
            </w:r>
          </w:p>
        </w:tc>
        <w:tc>
          <w:tcPr>
            <w:tcW w:type="dxa" w:w="360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Change frequency, assigned adult, setting, or support structure.</w:t>
            </w:r>
          </w:p>
        </w:tc>
      </w:tr>
      <w:tr>
        <w:tc>
          <w:tcPr>
            <w:tcW w:type="dxa" w:w="79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w:t>
            </w:r>
          </w:p>
        </w:tc>
        <w:tc>
          <w:tcPr>
            <w:tcW w:type="dxa" w:w="165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Fade</w:t>
            </w:r>
          </w:p>
        </w:tc>
        <w:tc>
          <w:tcPr>
            <w:tcW w:type="dxa" w:w="3816"/>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The student has met the goal and is maintaining a steady baseline.</w:t>
            </w:r>
          </w:p>
        </w:tc>
        <w:tc>
          <w:tcPr>
            <w:tcW w:type="dxa" w:w="360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Gradually reduce intensity while checking periodically.</w:t>
            </w:r>
          </w:p>
        </w:tc>
      </w:tr>
      <w:tr>
        <w:tc>
          <w:tcPr>
            <w:tcW w:type="dxa" w:w="79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w:t>
            </w:r>
          </w:p>
        </w:tc>
        <w:tc>
          <w:tcPr>
            <w:tcW w:type="dxa" w:w="165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Intensify</w:t>
            </w:r>
          </w:p>
        </w:tc>
        <w:tc>
          <w:tcPr>
            <w:tcW w:type="dxa" w:w="3816"/>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The concern continues or worsens despite consistent Tier 2 implementation.</w:t>
            </w:r>
          </w:p>
        </w:tc>
        <w:tc>
          <w:tcPr>
            <w:tcW w:type="dxa" w:w="360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Consider Tier 3 individualized planning if the concern continues or intensifies despite consistent Tier 2 support.</w:t>
            </w:r>
          </w:p>
        </w:tc>
      </w:tr>
      <w:tr>
        <w:tc>
          <w:tcPr>
            <w:tcW w:type="dxa" w:w="792"/>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 ]</w:t>
            </w:r>
          </w:p>
        </w:tc>
        <w:tc>
          <w:tcPr>
            <w:tcW w:type="dxa" w:w="1655"/>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Close</w:t>
            </w:r>
          </w:p>
        </w:tc>
        <w:tc>
          <w:tcPr>
            <w:tcW w:type="dxa" w:w="3816"/>
            <w:shd w:fill="F7F8FA"/>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The root concern is resolved and structured support is no longer required.</w:t>
            </w:r>
          </w:p>
        </w:tc>
        <w:tc>
          <w:tcPr>
            <w:tcW w:type="dxa" w:w="3600"/>
            <w:shd w:fill="FFFFFF"/>
            <w:tcMar>
              <w:top w:w="100" w:type="dxa"/>
              <w:start w:w="120" w:type="dxa"/>
              <w:bottom w:w="100" w:type="dxa"/>
              <w:end w:w="120" w:type="dxa"/>
            </w:tcMar>
            <w:vAlign w:val="center"/>
          </w:tcPr>
          <w:p>
            <w:pPr>
              <w:spacing w:after="0" w:line="259" w:lineRule="auto"/>
            </w:pPr>
            <w:r>
              <w:rPr>
                <w:rFonts w:ascii="Times New Roman" w:hAnsi="Times New Roman"/>
              </w:rPr>
            </w:r>
            <w:r>
              <w:rPr>
                <w:rFonts w:ascii="Times New Roman" w:hAnsi="Times New Roman"/>
                <w:b w:val="0"/>
                <w:color w:val="1E2A3A"/>
                <w:sz w:val="21"/>
              </w:rPr>
              <w:t>Close and archive according to district procedures.</w:t>
            </w:r>
          </w:p>
        </w:tc>
      </w:tr>
    </w:tbl>
    <w:p/>
    <w:sectPr w:rsidR="00FC693F" w:rsidRPr="0006063C" w:rsidSect="00034616">
      <w:headerReference w:type="default" r:id="rId9"/>
      <w:footerReference w:type="default" r:id="rId10"/>
      <w:pgSz w:w="12240" w:h="15840"/>
      <w:pgMar w:top="1008" w:right="1037" w:bottom="1008" w:left="1037"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4A5568"/>
        <w:sz w:val="19"/>
      </w:rPr>
      <w:t>The Blueprint Institute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color w:val="4A5568"/>
        <w:sz w:val="19"/>
      </w:rPr>
      <w:t>District Tool 3 | Active Student Review and Tier 2 Matching Toolkit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76" w:lineRule="auto"/>
    </w:pPr>
    <w:rPr>
      <w:rFonts w:ascii="Times New Roman" w:hAnsi="Times New Roman"/>
      <w:color w:val="1E2A3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40"/>
      <w:outlineLvl w:val="0"/>
    </w:pPr>
    <w:rPr>
      <w:rFonts w:asciiTheme="majorHAnsi" w:eastAsiaTheme="majorEastAsia" w:hAnsiTheme="majorHAnsi" w:cstheme="majorBidi" w:ascii="Georgia" w:hAnsi="Georgia"/>
      <w:b/>
      <w:bCs/>
      <w:color w:val="1B4F46"/>
      <w:sz w:val="34"/>
      <w:szCs w:val="28"/>
    </w:rPr>
  </w:style>
  <w:style w:type="paragraph" w:styleId="Heading2">
    <w:name w:val="heading 2"/>
    <w:basedOn w:val="Normal"/>
    <w:next w:val="Normal"/>
    <w:link w:val="Heading2Char"/>
    <w:uiPriority w:val="9"/>
    <w:unhideWhenUsed/>
    <w:qFormat/>
    <w:rsid w:val="00FC693F"/>
    <w:pPr>
      <w:keepNext/>
      <w:keepLines/>
      <w:spacing w:before="240" w:after="100"/>
      <w:outlineLvl w:val="1"/>
    </w:pPr>
    <w:rPr>
      <w:rFonts w:asciiTheme="majorHAnsi" w:eastAsiaTheme="majorEastAsia" w:hAnsiTheme="majorHAnsi" w:cstheme="majorBidi" w:ascii="Georgia" w:hAnsi="Georgia"/>
      <w:b/>
      <w:bCs/>
      <w:color w:val="0E2243"/>
      <w:sz w:val="28"/>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Georgia" w:hAnsi="Georgia"/>
      <w:b/>
      <w:bCs/>
      <w:color w:val="0E2243"/>
      <w:sz w:val="25"/>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