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9864"/>
      </w:tblGrid>
      <w:tr>
        <w:tc>
          <w:tcPr>
            <w:tcW w:type="dxa" w:w="9864"/>
            <w:shd w:fill="1B4F46"/>
            <w:tcMar>
              <w:top w:w="210" w:type="dxa"/>
              <w:start w:w="240" w:type="dxa"/>
              <w:bottom w:w="220" w:type="dxa"/>
              <w:end w:w="240" w:type="dxa"/>
            </w:tcMar>
          </w:tcPr>
          <w:p>
            <w:pPr>
              <w:spacing w:after="140"/>
              <w:jc w:val="center"/>
            </w:pPr>
            <w:r>
              <w:rPr>
                <w:rFonts w:ascii="Georgia" w:hAnsi="Georgia"/>
                <w:b/>
                <w:color w:val="C8A94A"/>
                <w:sz w:val="28"/>
              </w:rPr>
              <w:t>Tool 1</w:t>
            </w:r>
          </w:p>
          <w:p>
            <w:pPr>
              <w:spacing w:after="80"/>
              <w:jc w:val="center"/>
            </w:pPr>
            <w:r>
              <w:rPr>
                <w:rFonts w:ascii="Georgia" w:hAnsi="Georgia"/>
                <w:b/>
                <w:color w:val="FFFFFF"/>
                <w:sz w:val="40"/>
              </w:rPr>
              <w:t>District Master Guide and Consensus Builder</w:t>
            </w:r>
          </w:p>
          <w:p>
            <w:pPr>
              <w:spacing w:after="0"/>
              <w:jc w:val="center"/>
            </w:pPr>
            <w:r>
              <w:rPr>
                <w:rFonts w:ascii="Times New Roman" w:hAnsi="Times New Roman"/>
                <w:b/>
                <w:color w:val="DDE9E5"/>
                <w:sz w:val="24"/>
              </w:rPr>
              <w:t>Coordinated Student Support System | Phase 1 Strategic Planning Workspace</w:t>
            </w:r>
          </w:p>
        </w:tc>
      </w:tr>
    </w:tbl>
    <w:p/>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9864"/>
      </w:tblGrid>
      <w:tr>
        <w:tc>
          <w:tcPr>
            <w:tcW w:type="dxa" w:w="9864"/>
            <w:shd w:fill="EEF6F3"/>
            <w:tcMar>
              <w:top w:w="140" w:type="dxa"/>
              <w:start w:w="170" w:type="dxa"/>
              <w:bottom w:w="140" w:type="dxa"/>
              <w:end w:w="170" w:type="dxa"/>
            </w:tcMar>
          </w:tcPr>
          <w:p>
            <w:pPr>
              <w:spacing w:after="0"/>
            </w:pPr>
            <w:r>
              <w:rPr>
                <w:rFonts w:ascii="Times New Roman" w:hAnsi="Times New Roman"/>
                <w:b/>
                <w:color w:val="0E2243"/>
                <w:sz w:val="24"/>
              </w:rPr>
              <w:t xml:space="preserve">Purpose: </w:t>
            </w:r>
            <w:r>
              <w:rPr>
                <w:rFonts w:ascii="Times New Roman" w:hAnsi="Times New Roman"/>
                <w:color w:val="1E2A3A"/>
                <w:sz w:val="24"/>
              </w:rPr>
              <w:t>This master planning guide establishes a unified district-wide structure for early identification, consistent response, and student reconnection. District leadership works through this guide sequentially to establish consensus, define boundaries, and authorize the structure that will be distributed to building leaders.</w:t>
            </w:r>
          </w:p>
        </w:tc>
      </w:tr>
    </w:tbl>
    <w:p/>
    <w:p>
      <w:pPr>
        <w:pStyle w:val="Heading1"/>
      </w:pPr>
      <w:r>
        <w:t>Step 1: Establish the Shared Narrative</w:t>
      </w:r>
    </w:p>
    <w:p>
      <w:r>
        <w:t>Before discussing tools or software, the district leadership team should align on the underlying philosophy of this system. Review the narrative below to establish consensus on the core mission.</w:t>
      </w:r>
    </w:p>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9864"/>
      </w:tblGrid>
      <w:tr>
        <w:tc>
          <w:tcPr>
            <w:tcW w:type="dxa" w:w="9864"/>
            <w:shd w:fill="EEF6F3"/>
            <w:tcMar>
              <w:top w:w="140" w:type="dxa"/>
              <w:start w:w="170" w:type="dxa"/>
              <w:bottom w:w="140" w:type="dxa"/>
              <w:end w:w="170" w:type="dxa"/>
            </w:tcMar>
          </w:tcPr>
          <w:p>
            <w:pPr>
              <w:spacing w:after="0"/>
            </w:pPr>
            <w:r>
              <w:rPr>
                <w:rFonts w:ascii="Times New Roman" w:hAnsi="Times New Roman"/>
                <w:b/>
                <w:color w:val="0E2243"/>
                <w:sz w:val="24"/>
              </w:rPr>
              <w:t xml:space="preserve">Shared Narrative: </w:t>
            </w:r>
            <w:r>
              <w:rPr>
                <w:rFonts w:ascii="Times New Roman" w:hAnsi="Times New Roman"/>
                <w:color w:val="1E2A3A"/>
                <w:sz w:val="24"/>
              </w:rPr>
              <w:t>Schools cannot solve chronic student disconnection, absenteeism, or trauma through reactive firefighting alone. Individual educators care deeply and work tirelessly, but without an integrated and predictable process, responses become fragmented or delayed. A classroom teacher may notice withdrawal, a counselor may know about a family crisis, and an administrator may track a spike in absences. If those warning signs stay siloed, interventions remain reactive and students can slip through the cracks.</w:t>
            </w:r>
          </w:p>
        </w:tc>
      </w:tr>
    </w:tbl>
    <w:p/>
    <w:p>
      <w:r>
        <w:t>The purpose of this project is to replace fragmented triage with a dependable, proactive support infrastructure. This framework shifts the collective mindset from "What is wrong with this student?" to "What pattern is this student showing, and how do we mobilize support?"</w:t>
      </w:r>
    </w:p>
    <w:p>
      <w:pPr>
        <w:pStyle w:val="Heading2"/>
      </w:pPr>
      <w:r>
        <w:t>Core Commitments</w:t>
      </w:r>
    </w:p>
    <w:p>
      <w:pPr>
        <w:pStyle w:val="ListBullet"/>
        <w:spacing w:after="80"/>
        <w:ind w:left="360" w:hanging="216"/>
      </w:pPr>
      <w:r>
        <w:t>Universal visibility: Staff look for the same early warning indicators across classrooms and settings.</w:t>
      </w:r>
    </w:p>
    <w:p>
      <w:pPr>
        <w:pStyle w:val="ListBullet"/>
        <w:spacing w:after="80"/>
        <w:ind w:left="360" w:hanging="216"/>
      </w:pPr>
      <w:r>
        <w:t>Prompt communication: Observable concerns are surfaced through the designated building process according to district expectations.</w:t>
      </w:r>
    </w:p>
    <w:p>
      <w:pPr>
        <w:pStyle w:val="ListBullet"/>
        <w:spacing w:after="80"/>
        <w:ind w:left="360" w:hanging="216"/>
      </w:pPr>
      <w:r>
        <w:t>Clear ownership: No student concern leaves a support team meeting without an Intervention Lead and a follow-up date.</w:t>
      </w:r>
    </w:p>
    <w:p>
      <w:pPr>
        <w:pStyle w:val="ListBullet"/>
        <w:spacing w:after="80"/>
        <w:ind w:left="360" w:hanging="216"/>
      </w:pPr>
      <w:r>
        <w:t>Platform flexibility: The Blueprint provides the human process structure; each district uses its own approved internal technology and privacy procedures.</w:t>
      </w:r>
    </w:p>
    <w:p>
      <w:pPr>
        <w:pStyle w:val="Heading1"/>
      </w:pPr>
      <w:r>
        <w:t>Step 2: Define District and Building Boundaries</w:t>
      </w:r>
    </w:p>
    <w:p>
      <w:r>
        <w:t>To build authentic buy-in, principals need local flexibility while working inside clear district guardrails. Review and approve the structural boundaries below.</w:t>
      </w:r>
    </w:p>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4932"/>
        <w:gridCol w:w="4932"/>
      </w:tblGrid>
      <w:tr>
        <w:tc>
          <w:tcPr>
            <w:tcW w:type="dxa" w:w="4932"/>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District-Wide Structure</w:t>
            </w:r>
          </w:p>
        </w:tc>
        <w:tc>
          <w:tcPr>
            <w:tcW w:type="dxa" w:w="4932"/>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Building-Level Local Autonomy</w:t>
            </w:r>
          </w:p>
        </w:tc>
      </w:tr>
      <w:tr>
        <w:tc>
          <w:tcPr>
            <w:tcW w:type="dxa" w:w="493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Universal early warning flags: All buildings track the same baseline indicators, including attendance, regulation, and academic engagement.</w:t>
            </w:r>
          </w:p>
        </w:tc>
        <w:tc>
          <w:tcPr>
            <w:tcW w:type="dxa" w:w="493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Meeting logistics: Buildings determine the day, time, and location for their student support team meetings.</w:t>
            </w:r>
          </w:p>
        </w:tc>
      </w:tr>
      <w:tr>
        <w:tc>
          <w:tcPr>
            <w:tcW w:type="dxa" w:w="493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Review routine: Student support teams use a recurring routine to review surfaced concerns and open follow-up items.</w:t>
            </w:r>
          </w:p>
        </w:tc>
        <w:tc>
          <w:tcPr>
            <w:tcW w:type="dxa" w:w="493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Staffing assignments: Principals assign staff members to fill meeting roles, including facilitator and recorder.</w:t>
            </w:r>
          </w:p>
        </w:tc>
      </w:tr>
      <w:tr>
        <w:tc>
          <w:tcPr>
            <w:tcW w:type="dxa" w:w="493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Data governance: Student data is stored only in district-approved internal systems.</w:t>
            </w:r>
          </w:p>
        </w:tc>
        <w:tc>
          <w:tcPr>
            <w:tcW w:type="dxa" w:w="493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Intervention Lead assignments: The team assigns the adult best positioned to coordinate follow-through based on relationship, role, and availability.</w:t>
            </w:r>
          </w:p>
        </w:tc>
      </w:tr>
      <w:tr>
        <w:tc>
          <w:tcPr>
            <w:tcW w:type="dxa" w:w="493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Action expectation: Every opened student concern includes a team decision, support determined by student need, an Intervention Lead, and a follow-up timeline.</w:t>
            </w:r>
          </w:p>
        </w:tc>
        <w:tc>
          <w:tcPr>
            <w:tcW w:type="dxa" w:w="493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Tier 1 local design: Buildings choose how to embed universal prevention routines, such as morning meeting, advisory, or classroom connection routines.</w:t>
            </w:r>
          </w:p>
        </w:tc>
      </w:tr>
    </w:tbl>
    <w:p/>
    <w:p>
      <w:pPr>
        <w:pStyle w:val="Heading1"/>
      </w:pPr>
      <w:r>
        <w:t>Step 3: District Consensus Checklist</w:t>
      </w:r>
    </w:p>
    <w:p>
      <w:r>
        <w:t>The district leadership team should approve, adapt, or replace the recommended baselines below before distributing the building launch resources and forms. The purpose is not to invent a system from scratch. The purpose is to make local decisions from a strong starting point.</w:t>
      </w:r>
    </w:p>
    <w:p>
      <w:pPr>
        <w:pStyle w:val="Heading2"/>
      </w:pPr>
      <w:r>
        <w:t>1. Phased Rollout Plan</w:t>
      </w:r>
    </w:p>
    <w:p>
      <w:r>
        <w:t>Determine how the district will introduce the framework. Select a recommended option or define a local alternative.</w:t>
      </w:r>
    </w:p>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2959"/>
        <w:gridCol w:w="4791"/>
        <w:gridCol w:w="2113"/>
      </w:tblGrid>
      <w:tr>
        <w:tc>
          <w:tcPr>
            <w:tcW w:type="dxa" w:w="2959"/>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Recommended Option</w:t>
            </w:r>
          </w:p>
        </w:tc>
        <w:tc>
          <w:tcPr>
            <w:tcW w:type="dxa" w:w="4791"/>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Best Fit</w:t>
            </w:r>
          </w:p>
        </w:tc>
        <w:tc>
          <w:tcPr>
            <w:tcW w:type="dxa" w:w="2113"/>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District Decision</w:t>
            </w:r>
          </w:p>
        </w:tc>
      </w:tr>
      <w:tr>
        <w:tc>
          <w:tcPr>
            <w:tcW w:type="dxa" w:w="2959"/>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District-wide launch</w:t>
            </w:r>
          </w:p>
        </w:tc>
        <w:tc>
          <w:tcPr>
            <w:tcW w:type="dxa" w:w="4791"/>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Use when all buildings are ready, leadership capacity is strong, and training can occur before launch.</w:t>
            </w:r>
          </w:p>
        </w:tc>
        <w:tc>
          <w:tcPr>
            <w:tcW w:type="dxa" w:w="2113"/>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Select as written</w:t>
              <w:br/>
              <w:t>[ ] Adapt below:</w:t>
              <w:br/>
              <w:t>Notes:</w:t>
            </w:r>
          </w:p>
        </w:tc>
      </w:tr>
      <w:tr>
        <w:tc>
          <w:tcPr>
            <w:tcW w:type="dxa" w:w="2959"/>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Cohort launch</w:t>
            </w:r>
          </w:p>
        </w:tc>
        <w:tc>
          <w:tcPr>
            <w:tcW w:type="dxa" w:w="4791"/>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Use when the district wants to begin with a manageable group, such as middle schools, one feeder pattern, or selected pilot buildings.</w:t>
            </w:r>
          </w:p>
        </w:tc>
        <w:tc>
          <w:tcPr>
            <w:tcW w:type="dxa" w:w="2113"/>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Select as written</w:t>
              <w:br/>
              <w:t>[ ] Adapt below:</w:t>
              <w:br/>
              <w:t>Notes:</w:t>
            </w:r>
          </w:p>
        </w:tc>
      </w:tr>
      <w:tr>
        <w:tc>
          <w:tcPr>
            <w:tcW w:type="dxa" w:w="2959"/>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Readiness-based launch</w:t>
            </w:r>
          </w:p>
        </w:tc>
        <w:tc>
          <w:tcPr>
            <w:tcW w:type="dxa" w:w="4791"/>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Use when buildings differ significantly in staffing, meeting routines, or access to support partners.</w:t>
            </w:r>
          </w:p>
        </w:tc>
        <w:tc>
          <w:tcPr>
            <w:tcW w:type="dxa" w:w="2113"/>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Select as written</w:t>
              <w:br/>
              <w:t>[ ] Adapt below:</w:t>
              <w:br/>
              <w:t>Notes:</w:t>
            </w:r>
          </w:p>
        </w:tc>
      </w:tr>
    </w:tbl>
    <w:p/>
    <w:p>
      <w:pPr>
        <w:pStyle w:val="Heading2"/>
      </w:pPr>
      <w:r>
        <w:t>2. Standardized Early Warning Indicators</w:t>
      </w:r>
    </w:p>
    <w:p>
      <w:r>
        <w:t>Approve or adapt the starter indicators below so staff across the district know what observable concerns should be surfaced. These are not diagnostic labels. They are practical triggers for team review.</w:t>
      </w:r>
    </w:p>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2325"/>
        <w:gridCol w:w="5918"/>
        <w:gridCol w:w="1620"/>
      </w:tblGrid>
      <w:tr>
        <w:tc>
          <w:tcPr>
            <w:tcW w:type="dxa" w:w="2325"/>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Indicator Area</w:t>
            </w:r>
          </w:p>
        </w:tc>
        <w:tc>
          <w:tcPr>
            <w:tcW w:type="dxa" w:w="5918"/>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Recommended Starter Trigger</w:t>
            </w:r>
          </w:p>
        </w:tc>
        <w:tc>
          <w:tcPr>
            <w:tcW w:type="dxa" w:w="1620"/>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Approve / Adapt</w:t>
            </w:r>
          </w:p>
        </w:tc>
      </w:tr>
      <w:tr>
        <w:tc>
          <w:tcPr>
            <w:tcW w:type="dxa" w:w="232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Attendance</w:t>
            </w:r>
          </w:p>
        </w:tc>
        <w:tc>
          <w:tcPr>
            <w:tcW w:type="dxa" w:w="5918"/>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Student misses 10 percent or more of instructional time, shows sudden spikes in morning tardiness, or begins a pattern of unexcused absences.</w:t>
            </w:r>
          </w:p>
        </w:tc>
        <w:tc>
          <w:tcPr>
            <w:tcW w:type="dxa" w:w="162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Approve as written</w:t>
              <w:br/>
              <w:t>[ ] Adapt below:</w:t>
              <w:br/>
              <w:t>Notes:</w:t>
            </w:r>
          </w:p>
        </w:tc>
      </w:tr>
      <w:tr>
        <w:tc>
          <w:tcPr>
            <w:tcW w:type="dxa" w:w="232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Behavior and regulation</w:t>
            </w:r>
          </w:p>
        </w:tc>
        <w:tc>
          <w:tcPr>
            <w:tcW w:type="dxa" w:w="5918"/>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Student has two or more major behavioral referrals, repeated classroom removals, or three consecutive days of visible dysregulation, shutdown, or withdrawal.</w:t>
            </w:r>
          </w:p>
        </w:tc>
        <w:tc>
          <w:tcPr>
            <w:tcW w:type="dxa" w:w="162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Approve as written</w:t>
              <w:br/>
              <w:t>[ ] Adapt below:</w:t>
              <w:br/>
              <w:t>Notes:</w:t>
            </w:r>
          </w:p>
        </w:tc>
      </w:tr>
      <w:tr>
        <w:tc>
          <w:tcPr>
            <w:tcW w:type="dxa" w:w="232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Academic engagement</w:t>
            </w:r>
          </w:p>
        </w:tc>
        <w:tc>
          <w:tcPr>
            <w:tcW w:type="dxa" w:w="5918"/>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Student falls below a C average, fails to submit three consecutive core assignments, or shows a rapid decline in task completion.</w:t>
            </w:r>
          </w:p>
        </w:tc>
        <w:tc>
          <w:tcPr>
            <w:tcW w:type="dxa" w:w="162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Approve as written</w:t>
              <w:br/>
              <w:t>[ ] Adapt below:</w:t>
              <w:br/>
              <w:t>Notes:</w:t>
            </w:r>
          </w:p>
        </w:tc>
      </w:tr>
      <w:tr>
        <w:tc>
          <w:tcPr>
            <w:tcW w:type="dxa" w:w="232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Connection and belonging</w:t>
            </w:r>
          </w:p>
        </w:tc>
        <w:tc>
          <w:tcPr>
            <w:tcW w:type="dxa" w:w="5918"/>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Student shows repeated isolation, peer conflict, refusal to participate, or loss of connection with adults or classmates.</w:t>
            </w:r>
          </w:p>
        </w:tc>
        <w:tc>
          <w:tcPr>
            <w:tcW w:type="dxa" w:w="162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Approve as written</w:t>
              <w:br/>
              <w:t>[ ] Adapt below:</w:t>
              <w:br/>
              <w:t>Notes:</w:t>
            </w:r>
          </w:p>
        </w:tc>
      </w:tr>
      <w:tr>
        <w:tc>
          <w:tcPr>
            <w:tcW w:type="dxa" w:w="232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Family or wellness concern</w:t>
            </w:r>
          </w:p>
        </w:tc>
        <w:tc>
          <w:tcPr>
            <w:tcW w:type="dxa" w:w="5918"/>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Staff receive information that a family stressor, housing/basic-needs issue, grief, crisis event, or wellness concern may be affecting school functioning.</w:t>
            </w:r>
          </w:p>
        </w:tc>
        <w:tc>
          <w:tcPr>
            <w:tcW w:type="dxa" w:w="162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Approve as written</w:t>
              <w:br/>
              <w:t>[ ] Adapt below:</w:t>
              <w:br/>
              <w:t>Notes:</w:t>
            </w:r>
          </w:p>
        </w:tc>
      </w:tr>
    </w:tbl>
    <w:p/>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9864"/>
      </w:tblGrid>
      <w:tr>
        <w:tc>
          <w:tcPr>
            <w:tcW w:type="dxa" w:w="9864"/>
            <w:shd w:fill="F7F8FA"/>
            <w:tcMar>
              <w:top w:w="140" w:type="dxa"/>
              <w:start w:w="170" w:type="dxa"/>
              <w:bottom w:w="140" w:type="dxa"/>
              <w:end w:w="170" w:type="dxa"/>
            </w:tcMar>
          </w:tcPr>
          <w:p>
            <w:pPr>
              <w:spacing w:after="0"/>
            </w:pPr>
            <w:r>
              <w:rPr>
                <w:rFonts w:ascii="Times New Roman" w:hAnsi="Times New Roman"/>
                <w:b/>
                <w:color w:val="0E2243"/>
                <w:sz w:val="24"/>
              </w:rPr>
              <w:t xml:space="preserve">District Decision: </w:t>
            </w:r>
            <w:r>
              <w:rPr>
                <w:rFonts w:ascii="Times New Roman" w:hAnsi="Times New Roman"/>
                <w:color w:val="1E2A3A"/>
                <w:sz w:val="24"/>
              </w:rPr>
              <w:t>Approved indicator set / local additions:</w:t>
            </w:r>
          </w:p>
        </w:tc>
      </w:tr>
    </w:tbl>
    <w:p/>
    <w:p>
      <w:pPr>
        <w:pStyle w:val="Heading2"/>
      </w:pPr>
      <w:r>
        <w:t>3. Approved Technology Process</w:t>
      </w:r>
    </w:p>
    <w:p>
      <w:r>
        <w:t>Confirm the internal system buildings will use to submit, track, and protect student support information. The Blueprint is platform-flexible; the district chooses the approved tool.</w:t>
      </w:r>
    </w:p>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3311"/>
        <w:gridCol w:w="4720"/>
        <w:gridCol w:w="1831"/>
      </w:tblGrid>
      <w:tr>
        <w:tc>
          <w:tcPr>
            <w:tcW w:type="dxa" w:w="3311"/>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Acceptable Internal Option</w:t>
            </w:r>
          </w:p>
        </w:tc>
        <w:tc>
          <w:tcPr>
            <w:tcW w:type="dxa" w:w="4720"/>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Use When</w:t>
            </w:r>
          </w:p>
        </w:tc>
        <w:tc>
          <w:tcPr>
            <w:tcW w:type="dxa" w:w="1831"/>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District Selection</w:t>
            </w:r>
          </w:p>
        </w:tc>
      </w:tr>
      <w:tr>
        <w:tc>
          <w:tcPr>
            <w:tcW w:type="dxa" w:w="3311"/>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Student information system notes or support module</w:t>
            </w:r>
          </w:p>
        </w:tc>
        <w:tc>
          <w:tcPr>
            <w:tcW w:type="dxa" w:w="4720"/>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The district already has a secure place for staff notes, team review, and follow-up tracking.</w:t>
            </w:r>
          </w:p>
        </w:tc>
        <w:tc>
          <w:tcPr>
            <w:tcW w:type="dxa" w:w="1831"/>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Select</w:t>
              <w:br/>
              <w:t>Notes:</w:t>
            </w:r>
          </w:p>
        </w:tc>
      </w:tr>
      <w:tr>
        <w:tc>
          <w:tcPr>
            <w:tcW w:type="dxa" w:w="3311"/>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Restricted internal form and protected spreadsheet</w:t>
            </w:r>
          </w:p>
        </w:tc>
        <w:tc>
          <w:tcPr>
            <w:tcW w:type="dxa" w:w="4720"/>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The district needs a simple intake route and can tightly limit access to approved staff.</w:t>
            </w:r>
          </w:p>
        </w:tc>
        <w:tc>
          <w:tcPr>
            <w:tcW w:type="dxa" w:w="1831"/>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Select</w:t>
              <w:br/>
              <w:t>Notes:</w:t>
            </w:r>
          </w:p>
        </w:tc>
      </w:tr>
      <w:tr>
        <w:tc>
          <w:tcPr>
            <w:tcW w:type="dxa" w:w="3311"/>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Secure case-management or MTSS platform</w:t>
            </w:r>
          </w:p>
        </w:tc>
        <w:tc>
          <w:tcPr>
            <w:tcW w:type="dxa" w:w="4720"/>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The district already uses a protected platform for intervention tracking and team workflows.</w:t>
            </w:r>
          </w:p>
        </w:tc>
        <w:tc>
          <w:tcPr>
            <w:tcW w:type="dxa" w:w="1831"/>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Select</w:t>
              <w:br/>
              <w:t>Notes:</w:t>
            </w:r>
          </w:p>
        </w:tc>
      </w:tr>
      <w:tr>
        <w:tc>
          <w:tcPr>
            <w:tcW w:type="dxa" w:w="3311"/>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District-approved shared drive folder</w:t>
            </w:r>
          </w:p>
        </w:tc>
        <w:tc>
          <w:tcPr>
            <w:tcW w:type="dxa" w:w="4720"/>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The district has clear permissions, naming rules, and privacy procedures for secure files.</w:t>
            </w:r>
          </w:p>
        </w:tc>
        <w:tc>
          <w:tcPr>
            <w:tcW w:type="dxa" w:w="1831"/>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Select</w:t>
              <w:br/>
              <w:t>Notes:</w:t>
            </w:r>
          </w:p>
        </w:tc>
      </w:tr>
    </w:tbl>
    <w:p/>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9864"/>
      </w:tblGrid>
      <w:tr>
        <w:tc>
          <w:tcPr>
            <w:tcW w:type="dxa" w:w="9864"/>
            <w:shd w:fill="F7F8FA"/>
            <w:tcMar>
              <w:top w:w="140" w:type="dxa"/>
              <w:start w:w="170" w:type="dxa"/>
              <w:bottom w:w="140" w:type="dxa"/>
              <w:end w:w="170" w:type="dxa"/>
            </w:tcMar>
          </w:tcPr>
          <w:p>
            <w:pPr>
              <w:spacing w:after="0"/>
            </w:pPr>
            <w:r>
              <w:rPr>
                <w:rFonts w:ascii="Times New Roman" w:hAnsi="Times New Roman"/>
                <w:b/>
                <w:color w:val="0E2243"/>
                <w:sz w:val="24"/>
              </w:rPr>
              <w:t xml:space="preserve">Approved System: </w:t>
            </w:r>
            <w:r>
              <w:rPr>
                <w:rFonts w:ascii="Times New Roman" w:hAnsi="Times New Roman"/>
                <w:color w:val="1E2A3A"/>
                <w:sz w:val="24"/>
              </w:rPr>
              <w:t>Name of approved internal system and access rules:</w:t>
            </w:r>
          </w:p>
        </w:tc>
      </w:tr>
    </w:tbl>
    <w:p/>
    <w:p>
      <w:pPr>
        <w:pStyle w:val="Heading2"/>
      </w:pPr>
      <w:r>
        <w:t>4. Meeting Schedule Safeguards</w:t>
      </w:r>
    </w:p>
    <w:p>
      <w:r>
        <w:t>Confirm that student support teams will have a protected routine for reviewing concerns and follow-up items.</w:t>
      </w:r>
    </w:p>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2818"/>
        <w:gridCol w:w="5213"/>
        <w:gridCol w:w="1831"/>
      </w:tblGrid>
      <w:tr>
        <w:tc>
          <w:tcPr>
            <w:tcW w:type="dxa" w:w="2818"/>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Scheduling Safeguard</w:t>
            </w:r>
          </w:p>
        </w:tc>
        <w:tc>
          <w:tcPr>
            <w:tcW w:type="dxa" w:w="5213"/>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Recommended Baseline</w:t>
            </w:r>
          </w:p>
        </w:tc>
        <w:tc>
          <w:tcPr>
            <w:tcW w:type="dxa" w:w="1831"/>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Local Decision</w:t>
            </w:r>
          </w:p>
        </w:tc>
      </w:tr>
      <w:tr>
        <w:tc>
          <w:tcPr>
            <w:tcW w:type="dxa" w:w="2818"/>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Meeting frequency</w:t>
            </w:r>
          </w:p>
        </w:tc>
        <w:tc>
          <w:tcPr>
            <w:tcW w:type="dxa" w:w="5213"/>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A recurring weekly student support team meeting, with emergency concerns handled outside this routine.</w:t>
            </w:r>
          </w:p>
        </w:tc>
        <w:tc>
          <w:tcPr>
            <w:tcW w:type="dxa" w:w="1831"/>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Approve as written</w:t>
              <w:br/>
              <w:t>[ ] Adapt below:</w:t>
              <w:br/>
              <w:t>Notes:</w:t>
            </w:r>
          </w:p>
        </w:tc>
      </w:tr>
      <w:tr>
        <w:tc>
          <w:tcPr>
            <w:tcW w:type="dxa" w:w="2818"/>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Protected participants</w:t>
            </w:r>
          </w:p>
        </w:tc>
        <w:tc>
          <w:tcPr>
            <w:tcW w:type="dxa" w:w="5213"/>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Administrator, counselor/specialist, facilitator, recorder, and other essential staff protected as much as possible from routine coverage conflicts.</w:t>
            </w:r>
          </w:p>
        </w:tc>
        <w:tc>
          <w:tcPr>
            <w:tcW w:type="dxa" w:w="1831"/>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Approve as written</w:t>
              <w:br/>
              <w:t>[ ] Adapt below:</w:t>
              <w:br/>
              <w:t>Notes:</w:t>
            </w:r>
          </w:p>
        </w:tc>
      </w:tr>
      <w:tr>
        <w:tc>
          <w:tcPr>
            <w:tcW w:type="dxa" w:w="2818"/>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Follow-up review</w:t>
            </w:r>
          </w:p>
        </w:tc>
        <w:tc>
          <w:tcPr>
            <w:tcW w:type="dxa" w:w="5213"/>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Every open concern returns to the team on a specific follow-up date until closed, faded, adjusted, or intensified.</w:t>
            </w:r>
          </w:p>
        </w:tc>
        <w:tc>
          <w:tcPr>
            <w:tcW w:type="dxa" w:w="1831"/>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Approve as written</w:t>
              <w:br/>
              <w:t>[ ] Adapt below:</w:t>
              <w:br/>
              <w:t>Notes:</w:t>
            </w:r>
          </w:p>
        </w:tc>
      </w:tr>
    </w:tbl>
    <w:p/>
    <w:p>
      <w:pPr>
        <w:pStyle w:val="Heading2"/>
      </w:pPr>
      <w:r>
        <w:t>5. Professional Learning Plan</w:t>
      </w:r>
    </w:p>
    <w:p>
      <w:r>
        <w:t>Identify how staff will learn the process before launch. Staff readiness matters more than document completion.</w:t>
      </w:r>
    </w:p>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3100"/>
        <w:gridCol w:w="5143"/>
        <w:gridCol w:w="1620"/>
      </w:tblGrid>
      <w:tr>
        <w:tc>
          <w:tcPr>
            <w:tcW w:type="dxa" w:w="3100"/>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Training Question</w:t>
            </w:r>
          </w:p>
        </w:tc>
        <w:tc>
          <w:tcPr>
            <w:tcW w:type="dxa" w:w="5143"/>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Recommended Staff Understanding</w:t>
            </w:r>
          </w:p>
        </w:tc>
        <w:tc>
          <w:tcPr>
            <w:tcW w:type="dxa" w:w="1620"/>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Local Plan</w:t>
            </w:r>
          </w:p>
        </w:tc>
      </w:tr>
      <w:tr>
        <w:tc>
          <w:tcPr>
            <w:tcW w:type="dxa" w:w="310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What should I report?</w:t>
            </w:r>
          </w:p>
        </w:tc>
        <w:tc>
          <w:tcPr>
            <w:tcW w:type="dxa" w:w="5143"/>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Observable attendance, behavior, regulation, academic, connection, or wellness patterns. Staff do not diagnose.</w:t>
            </w:r>
          </w:p>
        </w:tc>
        <w:tc>
          <w:tcPr>
            <w:tcW w:type="dxa" w:w="162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Ready as written</w:t>
              <w:br/>
              <w:t>[ ] Adapt below:</w:t>
              <w:br/>
              <w:t>Notes:</w:t>
            </w:r>
          </w:p>
        </w:tc>
      </w:tr>
      <w:tr>
        <w:tc>
          <w:tcPr>
            <w:tcW w:type="dxa" w:w="310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How do I report it?</w:t>
            </w:r>
          </w:p>
        </w:tc>
        <w:tc>
          <w:tcPr>
            <w:tcW w:type="dxa" w:w="5143"/>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Through the district-approved secure process.</w:t>
            </w:r>
          </w:p>
        </w:tc>
        <w:tc>
          <w:tcPr>
            <w:tcW w:type="dxa" w:w="162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Ready as written</w:t>
              <w:br/>
              <w:t>[ ] Adapt below:</w:t>
              <w:br/>
              <w:t>Notes:</w:t>
            </w:r>
          </w:p>
        </w:tc>
      </w:tr>
      <w:tr>
        <w:tc>
          <w:tcPr>
            <w:tcW w:type="dxa" w:w="310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Who receives it?</w:t>
            </w:r>
          </w:p>
        </w:tc>
        <w:tc>
          <w:tcPr>
            <w:tcW w:type="dxa" w:w="5143"/>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The building Student Support Team.</w:t>
            </w:r>
          </w:p>
        </w:tc>
        <w:tc>
          <w:tcPr>
            <w:tcW w:type="dxa" w:w="162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Ready as written</w:t>
              <w:br/>
              <w:t>[ ] Adapt below:</w:t>
              <w:br/>
              <w:t>Notes:</w:t>
            </w:r>
          </w:p>
        </w:tc>
      </w:tr>
      <w:tr>
        <w:tc>
          <w:tcPr>
            <w:tcW w:type="dxa" w:w="310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What happens next?</w:t>
            </w:r>
          </w:p>
        </w:tc>
        <w:tc>
          <w:tcPr>
            <w:tcW w:type="dxa" w:w="5143"/>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The team reviews the concern, assigns an Intervention Lead, matches support, and sets follow-up.</w:t>
            </w:r>
          </w:p>
        </w:tc>
        <w:tc>
          <w:tcPr>
            <w:tcW w:type="dxa" w:w="162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Ready as written</w:t>
              <w:br/>
              <w:t>[ ] Adapt below:</w:t>
              <w:br/>
              <w:t>Notes:</w:t>
            </w:r>
          </w:p>
        </w:tc>
      </w:tr>
      <w:tr>
        <w:tc>
          <w:tcPr>
            <w:tcW w:type="dxa" w:w="310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Target Implementation Date and Format</w:t>
            </w:r>
          </w:p>
        </w:tc>
        <w:tc>
          <w:tcPr>
            <w:tcW w:type="dxa" w:w="5143"/>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Identify the training date, setting, audience, and format before launch.</w:t>
            </w:r>
          </w:p>
        </w:tc>
        <w:tc>
          <w:tcPr>
            <w:tcW w:type="dxa" w:w="162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r>
          </w:p>
        </w:tc>
      </w:tr>
    </w:tbl>
    <w:p/>
    <w:p>
      <w:pPr>
        <w:pStyle w:val="Heading2"/>
      </w:pPr>
      <w:r>
        <w:t>6. Community and Mental Health Partnerships</w:t>
      </w:r>
    </w:p>
    <w:p>
      <w:r>
        <w:t>Identify external partners already approved by the district for consultation, family support, mental health connection, basic needs, or intensive coordination.</w:t>
      </w:r>
    </w:p>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3029"/>
        <w:gridCol w:w="4861"/>
        <w:gridCol w:w="1972"/>
      </w:tblGrid>
      <w:tr>
        <w:tc>
          <w:tcPr>
            <w:tcW w:type="dxa" w:w="3029"/>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Partner Category</w:t>
            </w:r>
          </w:p>
        </w:tc>
        <w:tc>
          <w:tcPr>
            <w:tcW w:type="dxa" w:w="4861"/>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Recommended Purpose</w:t>
            </w:r>
          </w:p>
        </w:tc>
        <w:tc>
          <w:tcPr>
            <w:tcW w:type="dxa" w:w="1972"/>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Local Partner / Contact</w:t>
            </w:r>
          </w:p>
        </w:tc>
      </w:tr>
      <w:tr>
        <w:tc>
          <w:tcPr>
            <w:tcW w:type="dxa" w:w="3029"/>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School-based mental health provider</w:t>
            </w:r>
          </w:p>
        </w:tc>
        <w:tc>
          <w:tcPr>
            <w:tcW w:type="dxa" w:w="4861"/>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Support connection for counseling, therapy, family consultation, or school-based services when formal enrollment/consent is completed.</w:t>
            </w:r>
          </w:p>
        </w:tc>
        <w:tc>
          <w:tcPr>
            <w:tcW w:type="dxa" w:w="197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r>
          </w:p>
        </w:tc>
      </w:tr>
      <w:tr>
        <w:tc>
          <w:tcPr>
            <w:tcW w:type="dxa" w:w="3029"/>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Mobile crisis or crisis response</w:t>
            </w:r>
          </w:p>
        </w:tc>
        <w:tc>
          <w:tcPr>
            <w:tcW w:type="dxa" w:w="4861"/>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Emergency or urgent stabilization according to district emergency procedures.</w:t>
            </w:r>
          </w:p>
        </w:tc>
        <w:tc>
          <w:tcPr>
            <w:tcW w:type="dxa" w:w="197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r>
          </w:p>
        </w:tc>
      </w:tr>
      <w:tr>
        <w:tc>
          <w:tcPr>
            <w:tcW w:type="dxa" w:w="3029"/>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Outpatient community provider</w:t>
            </w:r>
          </w:p>
        </w:tc>
        <w:tc>
          <w:tcPr>
            <w:tcW w:type="dxa" w:w="4861"/>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Ongoing counseling, grief support, youth support groups, or intensive therapy outside the school.</w:t>
            </w:r>
          </w:p>
        </w:tc>
        <w:tc>
          <w:tcPr>
            <w:tcW w:type="dxa" w:w="197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r>
          </w:p>
        </w:tc>
      </w:tr>
      <w:tr>
        <w:tc>
          <w:tcPr>
            <w:tcW w:type="dxa" w:w="3029"/>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Family support / basic needs agency</w:t>
            </w:r>
          </w:p>
        </w:tc>
        <w:tc>
          <w:tcPr>
            <w:tcW w:type="dxa" w:w="4861"/>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Housing, food, transportation, case management, or family stabilization support.</w:t>
            </w:r>
          </w:p>
        </w:tc>
        <w:tc>
          <w:tcPr>
            <w:tcW w:type="dxa" w:w="197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r>
          </w:p>
        </w:tc>
      </w:tr>
      <w:tr>
        <w:tc>
          <w:tcPr>
            <w:tcW w:type="dxa" w:w="3029"/>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Attendance or community agency</w:t>
            </w:r>
          </w:p>
        </w:tc>
        <w:tc>
          <w:tcPr>
            <w:tcW w:type="dxa" w:w="4861"/>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Support for chronic absenteeism, re-engagement, home-school communication, or community navigation.</w:t>
            </w:r>
          </w:p>
        </w:tc>
        <w:tc>
          <w:tcPr>
            <w:tcW w:type="dxa" w:w="197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r>
          </w:p>
        </w:tc>
      </w:tr>
    </w:tbl>
    <w:p/>
    <w:p>
      <w:pPr>
        <w:pStyle w:val="Heading2"/>
      </w:pPr>
      <w:r>
        <w:t>7. Implementation Health Metrics</w:t>
      </w:r>
    </w:p>
    <w:p>
      <w:r>
        <w:t>Define what buildings will report to the district so leaders can see whether the process is working. The recommended metrics below focus on system health, not student surveillance.</w:t>
      </w:r>
    </w:p>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1902"/>
        <w:gridCol w:w="3170"/>
        <w:gridCol w:w="3452"/>
        <w:gridCol w:w="1338"/>
      </w:tblGrid>
      <w:tr>
        <w:tc>
          <w:tcPr>
            <w:tcW w:type="dxa" w:w="1902"/>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Metric</w:t>
            </w:r>
          </w:p>
        </w:tc>
        <w:tc>
          <w:tcPr>
            <w:tcW w:type="dxa" w:w="3170"/>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Recommended Baseline</w:t>
            </w:r>
          </w:p>
        </w:tc>
        <w:tc>
          <w:tcPr>
            <w:tcW w:type="dxa" w:w="3452"/>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Why It Matters</w:t>
            </w:r>
          </w:p>
        </w:tc>
        <w:tc>
          <w:tcPr>
            <w:tcW w:type="dxa" w:w="1338"/>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Use / Adapt</w:t>
            </w:r>
          </w:p>
        </w:tc>
      </w:tr>
      <w:tr>
        <w:tc>
          <w:tcPr>
            <w:tcW w:type="dxa" w:w="190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Concern volume</w:t>
            </w:r>
          </w:p>
        </w:tc>
        <w:tc>
          <w:tcPr>
            <w:tcW w:type="dxa" w:w="317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Number of concerns submitted by building and concern area.</w:t>
            </w:r>
          </w:p>
        </w:tc>
        <w:tc>
          <w:tcPr>
            <w:tcW w:type="dxa" w:w="3452"/>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Shows whether staff are using the process and where patterns are emerging.</w:t>
            </w:r>
          </w:p>
        </w:tc>
        <w:tc>
          <w:tcPr>
            <w:tcW w:type="dxa" w:w="1338"/>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Track as written</w:t>
              <w:br/>
              <w:t>[ ] Adapt below:</w:t>
              <w:br/>
              <w:t>Notes:</w:t>
            </w:r>
          </w:p>
        </w:tc>
      </w:tr>
      <w:tr>
        <w:tc>
          <w:tcPr>
            <w:tcW w:type="dxa" w:w="190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Response time</w:t>
            </w:r>
          </w:p>
        </w:tc>
        <w:tc>
          <w:tcPr>
            <w:tcW w:type="dxa" w:w="317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Target: less than 72 hours from intake to Intervention Lead assignment for routine concerns.</w:t>
            </w:r>
          </w:p>
        </w:tc>
        <w:tc>
          <w:tcPr>
            <w:tcW w:type="dxa" w:w="3452"/>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Shows whether concerns are moving from observation to ownership.</w:t>
            </w:r>
          </w:p>
        </w:tc>
        <w:tc>
          <w:tcPr>
            <w:tcW w:type="dxa" w:w="1338"/>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Track as written</w:t>
              <w:br/>
              <w:t>[ ] Adapt below:</w:t>
              <w:br/>
              <w:t>Notes:</w:t>
            </w:r>
          </w:p>
        </w:tc>
      </w:tr>
      <w:tr>
        <w:tc>
          <w:tcPr>
            <w:tcW w:type="dxa" w:w="190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Intervention fidelity</w:t>
            </w:r>
          </w:p>
        </w:tc>
        <w:tc>
          <w:tcPr>
            <w:tcW w:type="dxa" w:w="317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Percentage of selected strategies implemented as planned.</w:t>
            </w:r>
          </w:p>
        </w:tc>
        <w:tc>
          <w:tcPr>
            <w:tcW w:type="dxa" w:w="3452"/>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Shows whether the support actually occurred, not just whether it was discussed.</w:t>
            </w:r>
          </w:p>
        </w:tc>
        <w:tc>
          <w:tcPr>
            <w:tcW w:type="dxa" w:w="1338"/>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Track as written</w:t>
              <w:br/>
              <w:t>[ ] Adapt below:</w:t>
              <w:br/>
              <w:t>Notes:</w:t>
            </w:r>
          </w:p>
        </w:tc>
      </w:tr>
      <w:tr>
        <w:tc>
          <w:tcPr>
            <w:tcW w:type="dxa" w:w="190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Follow-up completion</w:t>
            </w:r>
          </w:p>
        </w:tc>
        <w:tc>
          <w:tcPr>
            <w:tcW w:type="dxa" w:w="317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Percentage of open cases reviewed by the scheduled follow-up date.</w:t>
            </w:r>
          </w:p>
        </w:tc>
        <w:tc>
          <w:tcPr>
            <w:tcW w:type="dxa" w:w="3452"/>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Shows whether the system follows through.</w:t>
            </w:r>
          </w:p>
        </w:tc>
        <w:tc>
          <w:tcPr>
            <w:tcW w:type="dxa" w:w="1338"/>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Track as written</w:t>
              <w:br/>
              <w:t>[ ] Adapt below:</w:t>
              <w:br/>
              <w:t>Notes:</w:t>
            </w:r>
          </w:p>
        </w:tc>
      </w:tr>
      <w:tr>
        <w:tc>
          <w:tcPr>
            <w:tcW w:type="dxa" w:w="190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Resolution / fade rate</w:t>
            </w:r>
          </w:p>
        </w:tc>
        <w:tc>
          <w:tcPr>
            <w:tcW w:type="dxa" w:w="317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Percentage of cases closed, faded, adjusted, or intensified with a documented decision.</w:t>
            </w:r>
          </w:p>
        </w:tc>
        <w:tc>
          <w:tcPr>
            <w:tcW w:type="dxa" w:w="3452"/>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Shows whether the team is making decisions instead of letting cases drift.</w:t>
            </w:r>
          </w:p>
        </w:tc>
        <w:tc>
          <w:tcPr>
            <w:tcW w:type="dxa" w:w="1338"/>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Track as written</w:t>
              <w:br/>
              <w:t>[ ] Adapt below:</w:t>
              <w:br/>
              <w:t>Notes:</w:t>
            </w:r>
          </w:p>
        </w:tc>
      </w:tr>
      <w:tr>
        <w:tc>
          <w:tcPr>
            <w:tcW w:type="dxa" w:w="190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District support requests</w:t>
            </w:r>
          </w:p>
        </w:tc>
        <w:tc>
          <w:tcPr>
            <w:tcW w:type="dxa" w:w="317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Number and type of barriers buildings ask the district to help resolve.</w:t>
            </w:r>
          </w:p>
        </w:tc>
        <w:tc>
          <w:tcPr>
            <w:tcW w:type="dxa" w:w="3452"/>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Shows where district-level support is needed.</w:t>
            </w:r>
          </w:p>
        </w:tc>
        <w:tc>
          <w:tcPr>
            <w:tcW w:type="dxa" w:w="1338"/>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Track as written</w:t>
              <w:br/>
              <w:t>[ ] Adapt below:</w:t>
              <w:br/>
              <w:t>Notes:</w:t>
            </w:r>
          </w:p>
        </w:tc>
      </w:tr>
    </w:tbl>
    <w:p/>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9864"/>
      </w:tblGrid>
      <w:tr>
        <w:tc>
          <w:tcPr>
            <w:tcW w:type="dxa" w:w="9864"/>
            <w:shd w:fill="F7F8FA"/>
            <w:tcMar>
              <w:top w:w="140" w:type="dxa"/>
              <w:start w:w="170" w:type="dxa"/>
              <w:bottom w:w="140" w:type="dxa"/>
              <w:end w:w="170" w:type="dxa"/>
            </w:tcMar>
          </w:tcPr>
          <w:p>
            <w:pPr>
              <w:spacing w:after="0"/>
            </w:pPr>
            <w:r>
              <w:rPr>
                <w:rFonts w:ascii="Times New Roman" w:hAnsi="Times New Roman"/>
                <w:b/>
                <w:color w:val="0E2243"/>
                <w:sz w:val="24"/>
              </w:rPr>
              <w:t xml:space="preserve">Reporting Frequency: </w:t>
            </w:r>
            <w:r>
              <w:rPr>
                <w:rFonts w:ascii="Times New Roman" w:hAnsi="Times New Roman"/>
                <w:color w:val="1E2A3A"/>
                <w:sz w:val="24"/>
              </w:rPr>
              <w:t>Recommended starting point: monthly during launch, then quarterly once routines stabilize. District decision:</w:t>
            </w:r>
          </w:p>
        </w:tc>
      </w:tr>
    </w:tbl>
    <w:p/>
    <w:p>
      <w:pPr>
        <w:pStyle w:val="Heading2"/>
      </w:pPr>
      <w:r>
        <w:t>8. District Support Response Expectations</w:t>
      </w:r>
    </w:p>
    <w:p>
      <w:r>
        <w:t>Clarify how quickly the district will respond when a building requests help with a barrier it cannot resolve locally. These are implementation support expectations, not emergency protocols.</w:t>
      </w:r>
    </w:p>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2325"/>
        <w:gridCol w:w="2888"/>
        <w:gridCol w:w="3452"/>
        <w:gridCol w:w="1197"/>
      </w:tblGrid>
      <w:tr>
        <w:tc>
          <w:tcPr>
            <w:tcW w:type="dxa" w:w="2325"/>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Request Type</w:t>
            </w:r>
          </w:p>
        </w:tc>
        <w:tc>
          <w:tcPr>
            <w:tcW w:type="dxa" w:w="2888"/>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Recommended Starting Target</w:t>
            </w:r>
          </w:p>
        </w:tc>
        <w:tc>
          <w:tcPr>
            <w:tcW w:type="dxa" w:w="3452"/>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Examples</w:t>
            </w:r>
          </w:p>
        </w:tc>
        <w:tc>
          <w:tcPr>
            <w:tcW w:type="dxa" w:w="1197"/>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District Decision</w:t>
            </w:r>
          </w:p>
        </w:tc>
      </w:tr>
      <w:tr>
        <w:tc>
          <w:tcPr>
            <w:tcW w:type="dxa" w:w="232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Standard implementation support</w:t>
            </w:r>
          </w:p>
        </w:tc>
        <w:tc>
          <w:tcPr>
            <w:tcW w:type="dxa" w:w="2888"/>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Within 2 to 3 school days.</w:t>
            </w:r>
          </w:p>
        </w:tc>
        <w:tc>
          <w:tcPr>
            <w:tcW w:type="dxa" w:w="3452"/>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Scheduling barrier, staffing conflict, unclear process question, support material request.</w:t>
            </w:r>
          </w:p>
        </w:tc>
        <w:tc>
          <w:tcPr>
            <w:tcW w:type="dxa" w:w="1197"/>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Approve as written</w:t>
              <w:br/>
              <w:t>[ ] Adapt below:</w:t>
              <w:br/>
              <w:t>Notes:</w:t>
            </w:r>
          </w:p>
        </w:tc>
      </w:tr>
      <w:tr>
        <w:tc>
          <w:tcPr>
            <w:tcW w:type="dxa" w:w="232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Urgent implementation barrier</w:t>
            </w:r>
          </w:p>
        </w:tc>
        <w:tc>
          <w:tcPr>
            <w:tcW w:type="dxa" w:w="2888"/>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Same day when possible, or within 2 to 4 hours during the school day.</w:t>
            </w:r>
          </w:p>
        </w:tc>
        <w:tc>
          <w:tcPr>
            <w:tcW w:type="dxa" w:w="3452"/>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Student concern has escalated beyond building capacity, partner coordination is needed quickly, or a building cannot safely proceed without district help.</w:t>
            </w:r>
          </w:p>
        </w:tc>
        <w:tc>
          <w:tcPr>
            <w:tcW w:type="dxa" w:w="1197"/>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Approve as written</w:t>
              <w:br/>
              <w:t>[ ] Adapt below:</w:t>
              <w:br/>
              <w:t>Notes:</w:t>
            </w:r>
          </w:p>
        </w:tc>
      </w:tr>
      <w:tr>
        <w:tc>
          <w:tcPr>
            <w:tcW w:type="dxa" w:w="232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Emergency or immediate danger</w:t>
            </w:r>
          </w:p>
        </w:tc>
        <w:tc>
          <w:tcPr>
            <w:tcW w:type="dxa" w:w="2888"/>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Bypass this process and follow District Emergency Procedures immediately.</w:t>
            </w:r>
          </w:p>
        </w:tc>
        <w:tc>
          <w:tcPr>
            <w:tcW w:type="dxa" w:w="3452"/>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Self-harm, threat to others, abuse disclosure, or immediate physical danger.</w:t>
            </w:r>
          </w:p>
        </w:tc>
        <w:tc>
          <w:tcPr>
            <w:tcW w:type="dxa" w:w="1197"/>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Confirm</w:t>
            </w:r>
          </w:p>
        </w:tc>
      </w:tr>
    </w:tbl>
    <w:p/>
    <w:p>
      <w:pPr>
        <w:pStyle w:val="Heading1"/>
      </w:pPr>
      <w:r>
        <w:t>Step 4: Authorization to Hand Off</w:t>
      </w:r>
    </w:p>
    <w:p>
      <w:r>
        <w:t>By signing below, the district leadership team confirms that consensus has been reached on system boundaries, data procedures, and launch supports. Tool 2 may now be customized and delivered to building principals.</w:t>
      </w:r>
    </w:p>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3381"/>
        <w:gridCol w:w="4368"/>
        <w:gridCol w:w="2113"/>
      </w:tblGrid>
      <w:tr>
        <w:tc>
          <w:tcPr>
            <w:tcW w:type="dxa" w:w="3381"/>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Role</w:t>
            </w:r>
          </w:p>
        </w:tc>
        <w:tc>
          <w:tcPr>
            <w:tcW w:type="dxa" w:w="4368"/>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Signature</w:t>
            </w:r>
          </w:p>
        </w:tc>
        <w:tc>
          <w:tcPr>
            <w:tcW w:type="dxa" w:w="2113"/>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Date</w:t>
            </w:r>
          </w:p>
        </w:tc>
      </w:tr>
      <w:tr>
        <w:tc>
          <w:tcPr>
            <w:tcW w:type="dxa" w:w="3381"/>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Superintendent</w:t>
            </w:r>
          </w:p>
        </w:tc>
        <w:tc>
          <w:tcPr>
            <w:tcW w:type="dxa" w:w="4368"/>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r>
          </w:p>
        </w:tc>
        <w:tc>
          <w:tcPr>
            <w:tcW w:type="dxa" w:w="2113"/>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r>
          </w:p>
        </w:tc>
      </w:tr>
      <w:tr>
        <w:tc>
          <w:tcPr>
            <w:tcW w:type="dxa" w:w="3381"/>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Chief Academic Officer / MTSS Lead</w:t>
            </w:r>
          </w:p>
        </w:tc>
        <w:tc>
          <w:tcPr>
            <w:tcW w:type="dxa" w:w="4368"/>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r>
          </w:p>
        </w:tc>
        <w:tc>
          <w:tcPr>
            <w:tcW w:type="dxa" w:w="2113"/>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r>
          </w:p>
        </w:tc>
      </w:tr>
    </w:tbl>
    <w:p/>
    <w:sectPr w:rsidR="00FC693F" w:rsidRPr="0006063C" w:rsidSect="00034616">
      <w:headerReference w:type="default" r:id="rId9"/>
      <w:footerReference w:type="default" r:id="rId10"/>
      <w:pgSz w:w="12240" w:h="15840"/>
      <w:pgMar w:top="1008" w:right="1037" w:bottom="1008"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4A5568"/>
        <w:sz w:val="19"/>
      </w:rPr>
      <w:t>The Blueprint Institute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color w:val="4A5568"/>
        <w:sz w:val="19"/>
      </w:rPr>
      <w:t>District Tool 1 | Master Guide and Consensus Builder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Times New Roman" w:hAnsi="Times New Roman"/>
      <w:color w:val="1E2A3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Georgia" w:hAnsi="Georgia"/>
      <w:b/>
      <w:bCs/>
      <w:color w:val="1B4F46"/>
      <w:sz w:val="34"/>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Georgia" w:hAnsi="Georgia"/>
      <w:b/>
      <w:bCs/>
      <w:color w:val="0E2243"/>
      <w:sz w:val="28"/>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Georgia" w:hAnsi="Georgia"/>
      <w:b/>
      <w:bCs/>
      <w:color w:val="0E2243"/>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