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tblLook w:firstColumn="1" w:firstRow="1" w:lastColumn="0" w:lastRow="0" w:noHBand="0" w:noVBand="1" w:val="04A0"/>
        <w:tblLayout w:type="fixed"/>
      </w:tblPr>
      <w:tblGrid>
        <w:gridCol w:w="9360"/>
      </w:tblGrid>
      <w:tr>
        <w:tc>
          <w:tcPr>
            <w:tcW w:type="dxa" w:w="9360"/>
            <w:shd w:fill="1B4F46"/>
            <w:tcBorders>
              <w:top w:val="single" w:sz="6" w:space="0" w:color="1B4F46"/>
              <w:left w:val="single" w:sz="6" w:space="0" w:color="1B4F46"/>
              <w:bottom w:val="single" w:sz="6" w:space="0" w:color="1B4F46"/>
              <w:right w:val="single" w:sz="6" w:space="0" w:color="1B4F46"/>
            </w:tcBorders>
            <w:tcMar>
              <w:top w:w="330" w:type="dxa"/>
              <w:start w:w="260" w:type="dxa"/>
              <w:bottom w:w="330" w:type="dxa"/>
              <w:end w:w="260" w:type="dxa"/>
            </w:tcMar>
          </w:tcPr>
          <w:p>
            <w:pPr>
              <w:spacing w:before="0" w:after="160" w:line="259" w:lineRule="auto"/>
              <w:jc w:val="center"/>
            </w:pPr>
            <w:r>
              <w:rPr>
                <w:rFonts w:ascii="Times New Roman" w:hAnsi="Times New Roman"/>
                <w:b/>
                <w:i w:val="0"/>
                <w:color w:val="D8B864"/>
                <w:sz w:val="38"/>
                <w:spacing w:val="0"/>
              </w:rPr>
              <w:t>Preparing Students for Life After High School</w:t>
            </w:r>
          </w:p>
          <w:p>
            <w:pPr>
              <w:spacing w:before="0" w:after="40" w:line="259" w:lineRule="auto"/>
              <w:jc w:val="center"/>
            </w:pPr>
            <w:r>
              <w:rPr>
                <w:rFonts w:ascii="Times New Roman" w:hAnsi="Times New Roman"/>
                <w:b/>
                <w:i w:val="0"/>
                <w:color w:val="FFFFFF"/>
                <w:sz w:val="30"/>
                <w:spacing w:val="0"/>
              </w:rPr>
              <w:t>Building Launch Meeting Agenda</w:t>
            </w:r>
          </w:p>
          <w:p>
            <w:pPr>
              <w:spacing w:before="0" w:after="0" w:line="259" w:lineRule="auto"/>
              <w:jc w:val="center"/>
            </w:pPr>
            <w:r>
              <w:rPr>
                <w:rFonts w:ascii="Times New Roman" w:hAnsi="Times New Roman"/>
                <w:b w:val="0"/>
                <w:i/>
                <w:color w:val="FFFFFF"/>
                <w:sz w:val="23"/>
                <w:spacing w:val="0"/>
              </w:rPr>
              <w:t>A practical agenda for introducing the initiative and beginning building implementation</w:t>
            </w:r>
          </w:p>
        </w:tc>
      </w:tr>
    </w:tbl>
    <w:p>
      <w:pPr>
        <w:spacing w:before="0" w:after="120" w:line="276" w:lineRule="auto"/>
      </w:pPr>
      <w:r>
        <w:rPr>
          <w:rFonts w:ascii="Times New Roman" w:hAnsi="Times New Roman"/>
          <w:b w:val="0"/>
          <w:i w:val="0"/>
          <w:color w:val="0E2243"/>
          <w:sz w:val="22"/>
          <w:spacing w:val="0"/>
        </w:rPr>
      </w:r>
    </w:p>
    <w:p>
      <w:pPr>
        <w:spacing w:before="280" w:after="160" w:line="276" w:lineRule="auto"/>
      </w:pPr>
      <w:r>
        <w:rPr>
          <w:rFonts w:ascii="Times New Roman" w:hAnsi="Times New Roman"/>
          <w:b/>
          <w:i w:val="0"/>
          <w:color w:val="1B4F46"/>
          <w:sz w:val="32"/>
          <w:spacing w:val="0"/>
        </w:rPr>
        <w:t>Meeting Purpose</w:t>
      </w:r>
    </w:p>
    <w:p>
      <w:pPr>
        <w:spacing w:before="0" w:after="120" w:line="276" w:lineRule="auto"/>
      </w:pPr>
      <w:r>
        <w:rPr>
          <w:rFonts w:ascii="Times New Roman" w:hAnsi="Times New Roman"/>
          <w:b w:val="0"/>
          <w:i w:val="0"/>
          <w:color w:val="0E2243"/>
          <w:sz w:val="22"/>
          <w:spacing w:val="0"/>
        </w:rPr>
        <w:t>This agenda helps a principal or building leadership team introduce the district's Preparing Students for Life After High School initiative, explain the selected starting domain, form a building launch team, and identify the first manageable implementation steps.</w:t>
      </w:r>
    </w:p>
    <w:tbl>
      <w:tblPr>
        <w:tblW w:type="dxa" w:w="9360"/>
        <w:tblLook w:firstColumn="1" w:firstRow="1" w:lastColumn="0" w:lastRow="0" w:noHBand="0" w:noVBand="1" w:val="04A0"/>
        <w:tblLayout w:type="fixed"/>
      </w:tblPr>
      <w:tblGrid>
        <w:gridCol w:w="9360"/>
      </w:tblGrid>
      <w:tr>
        <w:tc>
          <w:tcPr>
            <w:tcW w:type="dxa" w:w="9360"/>
            <w:shd w:fill="FBF7E8"/>
            <w:tcBorders>
              <w:top w:val="single" w:sz="6" w:space="0" w:color="C8DAD4"/>
              <w:left w:val="single" w:sz="6" w:space="0" w:color="C8DAD4"/>
              <w:bottom w:val="single" w:sz="6" w:space="0" w:color="C8DAD4"/>
              <w:right w:val="single" w:sz="6" w:space="0" w:color="C8DAD4"/>
            </w:tcBorders>
            <w:tcMar>
              <w:top w:w="150" w:type="dxa"/>
              <w:start w:w="180" w:type="dxa"/>
              <w:bottom w:w="150" w:type="dxa"/>
              <w:end w:w="180" w:type="dxa"/>
            </w:tcMar>
          </w:tcPr>
          <w:p>
            <w:pPr>
              <w:spacing w:before="0" w:after="80" w:line="269" w:lineRule="auto"/>
            </w:pPr>
            <w:r>
              <w:rPr>
                <w:rFonts w:ascii="Times New Roman" w:hAnsi="Times New Roman"/>
                <w:b/>
                <w:i w:val="0"/>
                <w:color w:val="1B4F46"/>
                <w:sz w:val="23"/>
                <w:spacing w:val="0"/>
              </w:rPr>
              <w:t>What This Meeting Should Accomplish</w:t>
            </w:r>
          </w:p>
          <w:p>
            <w:pPr>
              <w:spacing w:before="0" w:after="0" w:line="269" w:lineRule="auto"/>
            </w:pPr>
            <w:r>
              <w:rPr>
                <w:rFonts w:ascii="Times New Roman" w:hAnsi="Times New Roman"/>
                <w:b w:val="0"/>
                <w:i w:val="0"/>
                <w:color w:val="0E2243"/>
                <w:sz w:val="22"/>
                <w:spacing w:val="0"/>
              </w:rPr>
              <w:t>By the end of the meeting, staff should understand why the work matters, what the district has selected for the first cycle, who will help lead the work locally, how the Building Implementation Guide will be used, and what evidence will be reviewed before the Quarterly Summary Report is submitted.</w:t>
            </w:r>
          </w:p>
        </w:tc>
      </w:tr>
    </w:tbl>
    <w:p>
      <w:pPr>
        <w:spacing w:before="0" w:after="40" w:line="276" w:lineRule="auto"/>
      </w:pPr>
      <w:r>
        <w:rPr>
          <w:rFonts w:ascii="Times New Roman" w:hAnsi="Times New Roman"/>
          <w:b w:val="0"/>
          <w:i w:val="0"/>
          <w:color w:val="0E2243"/>
          <w:sz w:val="22"/>
          <w:spacing w:val="0"/>
        </w:rPr>
      </w:r>
    </w:p>
    <w:p>
      <w:pPr>
        <w:spacing w:before="280" w:after="160" w:line="276" w:lineRule="auto"/>
      </w:pPr>
      <w:r>
        <w:rPr>
          <w:rFonts w:ascii="Times New Roman" w:hAnsi="Times New Roman"/>
          <w:b/>
          <w:i w:val="0"/>
          <w:color w:val="1B4F46"/>
          <w:sz w:val="32"/>
          <w:spacing w:val="0"/>
        </w:rPr>
        <w:t>Materials Needed</w:t>
      </w:r>
    </w:p>
    <w:p>
      <w:pPr>
        <w:pStyle w:val="ListBullet"/>
        <w:spacing w:before="0" w:after="80" w:line="276" w:lineRule="auto"/>
        <w:ind w:left="360" w:hanging="216"/>
      </w:pPr>
      <w:r>
        <w:rPr>
          <w:rFonts w:ascii="Times New Roman" w:hAnsi="Times New Roman"/>
          <w:b w:val="0"/>
          <w:i w:val="0"/>
          <w:color w:val="0E2243"/>
          <w:sz w:val="22"/>
          <w:spacing w:val="0"/>
        </w:rPr>
        <w:t>District Implementation Plan for Buildings</w:t>
      </w:r>
    </w:p>
    <w:p>
      <w:pPr>
        <w:pStyle w:val="ListBullet"/>
        <w:spacing w:before="0" w:after="80" w:line="276" w:lineRule="auto"/>
        <w:ind w:left="360" w:hanging="216"/>
      </w:pPr>
      <w:r>
        <w:rPr>
          <w:rFonts w:ascii="Times New Roman" w:hAnsi="Times New Roman"/>
          <w:b w:val="0"/>
          <w:i w:val="0"/>
          <w:color w:val="0E2243"/>
          <w:sz w:val="22"/>
          <w:spacing w:val="0"/>
        </w:rPr>
        <w:t>Building Implementation Guide for the district-selected domain</w:t>
      </w:r>
    </w:p>
    <w:p>
      <w:pPr>
        <w:pStyle w:val="ListBullet"/>
        <w:spacing w:before="0" w:after="80" w:line="276" w:lineRule="auto"/>
        <w:ind w:left="360" w:hanging="216"/>
      </w:pPr>
      <w:r>
        <w:rPr>
          <w:rFonts w:ascii="Times New Roman" w:hAnsi="Times New Roman"/>
          <w:b w:val="0"/>
          <w:i w:val="0"/>
          <w:color w:val="0E2243"/>
          <w:sz w:val="22"/>
          <w:spacing w:val="0"/>
        </w:rPr>
        <w:t>District-selected building, grade band, starting domain, and support contact</w:t>
      </w:r>
    </w:p>
    <w:p>
      <w:pPr>
        <w:pStyle w:val="ListBullet"/>
        <w:spacing w:before="0" w:after="80" w:line="276" w:lineRule="auto"/>
        <w:ind w:left="360" w:hanging="216"/>
      </w:pPr>
      <w:r>
        <w:rPr>
          <w:rFonts w:ascii="Times New Roman" w:hAnsi="Times New Roman"/>
          <w:b w:val="0"/>
          <w:i w:val="0"/>
          <w:color w:val="0E2243"/>
          <w:sz w:val="22"/>
          <w:spacing w:val="0"/>
        </w:rPr>
        <w:t>Guided Overview or district launch slides, if being used</w:t>
      </w:r>
    </w:p>
    <w:p>
      <w:pPr>
        <w:pStyle w:val="ListBullet"/>
        <w:spacing w:before="0" w:after="80" w:line="276" w:lineRule="auto"/>
        <w:ind w:left="360" w:hanging="216"/>
      </w:pPr>
      <w:r>
        <w:rPr>
          <w:rFonts w:ascii="Times New Roman" w:hAnsi="Times New Roman"/>
          <w:b w:val="0"/>
          <w:i w:val="0"/>
          <w:color w:val="0E2243"/>
          <w:sz w:val="22"/>
          <w:spacing w:val="0"/>
        </w:rPr>
        <w:t>Quarterly Building Implementation Update form or Summary Report preview</w:t>
      </w:r>
    </w:p>
    <w:p>
      <w:pPr>
        <w:spacing w:before="280" w:after="160" w:line="276" w:lineRule="auto"/>
      </w:pPr>
      <w:r>
        <w:rPr>
          <w:rFonts w:ascii="Times New Roman" w:hAnsi="Times New Roman"/>
          <w:b/>
          <w:i w:val="0"/>
          <w:color w:val="1B4F46"/>
          <w:sz w:val="32"/>
          <w:spacing w:val="0"/>
        </w:rPr>
        <w:t>Before the Meeting</w:t>
      </w:r>
    </w:p>
    <w:p>
      <w:pPr>
        <w:spacing w:before="100" w:after="60" w:line="276" w:lineRule="auto"/>
      </w:pPr>
      <w:r>
        <w:rPr>
          <w:rFonts w:ascii="Times New Roman" w:hAnsi="Times New Roman"/>
          <w:b/>
          <w:i w:val="0"/>
          <w:color w:val="1B4F46"/>
          <w:sz w:val="24"/>
          <w:spacing w:val="0"/>
        </w:rPr>
        <w:t>Principal Preparation Checklist</w:t>
      </w:r>
    </w:p>
    <w:tbl>
      <w:tblPr>
        <w:tblW w:type="dxa" w:w="9360"/>
        <w:tblLook w:firstColumn="1" w:firstRow="1" w:lastColumn="0" w:lastRow="0" w:noHBand="0" w:noVBand="1" w:val="04A0"/>
        <w:tblLayout w:type="fixed"/>
      </w:tblPr>
      <w:tblGrid>
        <w:gridCol w:w="2450"/>
        <w:gridCol w:w="6910"/>
      </w:tblGrid>
      <w:tr>
        <w:tc>
          <w:tcPr>
            <w:tcW w:type="dxa" w:w="245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Task</w:t>
            </w:r>
          </w:p>
        </w:tc>
        <w:tc>
          <w:tcPr>
            <w:tcW w:type="dxa" w:w="691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Notes</w:t>
            </w:r>
          </w:p>
        </w:tc>
      </w:tr>
      <w:tr>
        <w:tc>
          <w:tcPr>
            <w:tcW w:type="dxa" w:w="24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Confirm district direction</w:t>
            </w:r>
          </w:p>
        </w:tc>
        <w:tc>
          <w:tcPr>
            <w:tcW w:type="dxa" w:w="69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Identify the building, grade bands, starting domain, district support contact, and first-cycle timeline.</w:t>
            </w:r>
          </w:p>
        </w:tc>
      </w:tr>
      <w:tr>
        <w:tc>
          <w:tcPr>
            <w:tcW w:type="dxa" w:w="24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Review the selected BIG</w:t>
            </w:r>
          </w:p>
        </w:tc>
        <w:tc>
          <w:tcPr>
            <w:tcW w:type="dxa" w:w="69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Read the grade-band sections that apply to the building before introducing the guide to staff.</w:t>
            </w:r>
          </w:p>
        </w:tc>
      </w:tr>
      <w:tr>
        <w:tc>
          <w:tcPr>
            <w:tcW w:type="dxa" w:w="24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Select participants</w:t>
            </w:r>
          </w:p>
        </w:tc>
        <w:tc>
          <w:tcPr>
            <w:tcW w:type="dxa" w:w="69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Invite staff connected to the selected grade bands and domain; include counselor or student support representation when appropriate.</w:t>
            </w:r>
          </w:p>
        </w:tc>
      </w:tr>
      <w:tr>
        <w:tc>
          <w:tcPr>
            <w:tcW w:type="dxa" w:w="24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Prepare the opening message</w:t>
            </w:r>
          </w:p>
        </w:tc>
        <w:tc>
          <w:tcPr>
            <w:tcW w:type="dxa" w:w="69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Connect the initiative to existing instruction, advising, support routines, and student preparation.</w:t>
            </w:r>
          </w:p>
        </w:tc>
      </w:tr>
      <w:tr>
        <w:tc>
          <w:tcPr>
            <w:tcW w:type="dxa" w:w="24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Protect the scope</w:t>
            </w:r>
          </w:p>
        </w:tc>
        <w:tc>
          <w:tcPr>
            <w:tcW w:type="dxa" w:w="691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Plan to begin with a small number of realistic actions rather than asking staff to implement everything at once.</w:t>
            </w:r>
          </w:p>
        </w:tc>
      </w:tr>
    </w:tbl>
    <w:p>
      <w:pPr>
        <w:spacing w:before="0" w:after="40" w:line="276" w:lineRule="auto"/>
      </w:pPr>
      <w:r>
        <w:rPr>
          <w:rFonts w:ascii="Times New Roman" w:hAnsi="Times New Roman"/>
          <w:b w:val="0"/>
          <w:i w:val="0"/>
          <w:color w:val="0E2243"/>
          <w:sz w:val="22"/>
          <w:spacing w:val="0"/>
        </w:rPr>
      </w:r>
    </w:p>
    <w:p>
      <w:pPr>
        <w:spacing w:before="280" w:after="160" w:line="276" w:lineRule="auto"/>
      </w:pPr>
      <w:r>
        <w:rPr>
          <w:rFonts w:ascii="Times New Roman" w:hAnsi="Times New Roman"/>
          <w:b/>
          <w:i w:val="0"/>
          <w:color w:val="1B4F46"/>
          <w:sz w:val="32"/>
          <w:spacing w:val="0"/>
        </w:rPr>
        <w:t>Message to Protect for Primary Grades</w:t>
      </w:r>
    </w:p>
    <w:p>
      <w:pPr>
        <w:spacing w:before="0" w:after="120" w:line="276" w:lineRule="auto"/>
      </w:pPr>
      <w:r>
        <w:rPr>
          <w:rFonts w:ascii="Times New Roman" w:hAnsi="Times New Roman"/>
          <w:b w:val="0"/>
          <w:i w:val="0"/>
          <w:color w:val="0E2243"/>
          <w:sz w:val="22"/>
          <w:spacing w:val="0"/>
        </w:rPr>
        <w:t>When staff or families hear 'life after high school,' they may wonder how this applies to young children. Principals should be ready to explain that the early grades are not about asking children to choose careers. They are about building the foundation: curiosity, confidence, imagination, communication, responsibility, problem solving, and early connections between school and the world around them.</w:t>
      </w:r>
    </w:p>
    <w:tbl>
      <w:tblPr>
        <w:tblW w:type="dxa" w:w="9360"/>
        <w:tblLook w:firstColumn="1" w:firstRow="1" w:lastColumn="0" w:lastRow="0" w:noHBand="0" w:noVBand="1" w:val="04A0"/>
        <w:tblLayout w:type="fixed"/>
      </w:tblPr>
      <w:tblGrid>
        <w:gridCol w:w="9360"/>
      </w:tblGrid>
      <w:tr>
        <w:tc>
          <w:tcPr>
            <w:tcW w:type="dxa" w:w="9360"/>
            <w:shd w:fill="FBF7E8"/>
            <w:tcBorders>
              <w:top w:val="single" w:sz="6" w:space="0" w:color="C8DAD4"/>
              <w:left w:val="single" w:sz="6" w:space="0" w:color="C8DAD4"/>
              <w:bottom w:val="single" w:sz="6" w:space="0" w:color="C8DAD4"/>
              <w:right w:val="single" w:sz="6" w:space="0" w:color="C8DAD4"/>
            </w:tcBorders>
            <w:tcMar>
              <w:top w:w="150" w:type="dxa"/>
              <w:start w:w="180" w:type="dxa"/>
              <w:bottom w:w="150" w:type="dxa"/>
              <w:end w:w="180" w:type="dxa"/>
            </w:tcMar>
          </w:tcPr>
          <w:p>
            <w:pPr>
              <w:spacing w:before="0" w:after="80" w:line="269" w:lineRule="auto"/>
            </w:pPr>
            <w:r>
              <w:rPr>
                <w:rFonts w:ascii="Times New Roman" w:hAnsi="Times New Roman"/>
                <w:b/>
                <w:i w:val="0"/>
                <w:color w:val="1B4F46"/>
                <w:sz w:val="23"/>
                <w:spacing w:val="0"/>
              </w:rPr>
              <w:t>Principal Talking Point</w:t>
            </w:r>
          </w:p>
          <w:p>
            <w:pPr>
              <w:spacing w:before="0" w:after="0" w:line="269" w:lineRule="auto"/>
            </w:pPr>
            <w:r>
              <w:rPr>
                <w:rFonts w:ascii="Times New Roman" w:hAnsi="Times New Roman"/>
                <w:b w:val="0"/>
                <w:i w:val="0"/>
                <w:color w:val="0E2243"/>
                <w:sz w:val="22"/>
                <w:spacing w:val="0"/>
              </w:rPr>
              <w:t>If a young child says they want to be a princess, superhero, athlete, artist, builder, or anything else, we do not correct the dream or force a career plan. We use the child's imagination as an opening to build language, creativity, problem solving, confidence, and awareness of the wider world. Those skills matter no matter what the child later chooses to do.</w:t>
            </w:r>
          </w:p>
        </w:tc>
      </w:tr>
    </w:tbl>
    <w:p>
      <w:pPr>
        <w:spacing w:before="0" w:after="40" w:line="276" w:lineRule="auto"/>
      </w:pPr>
      <w:r>
        <w:rPr>
          <w:rFonts w:ascii="Times New Roman" w:hAnsi="Times New Roman"/>
          <w:b w:val="0"/>
          <w:i w:val="0"/>
          <w:color w:val="0E2243"/>
          <w:sz w:val="22"/>
          <w:spacing w:val="0"/>
        </w:rPr>
      </w:r>
    </w:p>
    <w:p>
      <w:pPr>
        <w:spacing w:before="280" w:after="160" w:line="276" w:lineRule="auto"/>
      </w:pPr>
      <w:r>
        <w:rPr>
          <w:rFonts w:ascii="Times New Roman" w:hAnsi="Times New Roman"/>
          <w:b/>
          <w:i w:val="0"/>
          <w:color w:val="1B4F46"/>
          <w:sz w:val="32"/>
          <w:spacing w:val="0"/>
        </w:rPr>
        <w:t>Recommended 75-Minute Agenda</w:t>
      </w:r>
    </w:p>
    <w:p>
      <w:pPr>
        <w:spacing w:before="100" w:after="60" w:line="276" w:lineRule="auto"/>
      </w:pPr>
      <w:r>
        <w:rPr>
          <w:rFonts w:ascii="Times New Roman" w:hAnsi="Times New Roman"/>
          <w:b/>
          <w:i w:val="0"/>
          <w:color w:val="1B4F46"/>
          <w:sz w:val="24"/>
          <w:spacing w:val="0"/>
        </w:rPr>
        <w:t>Meeting Flow</w:t>
      </w:r>
    </w:p>
    <w:tbl>
      <w:tblPr>
        <w:tblW w:type="dxa" w:w="9360"/>
        <w:tblLook w:firstColumn="1" w:firstRow="1" w:lastColumn="0" w:lastRow="0" w:noHBand="0" w:noVBand="1" w:val="04A0"/>
        <w:tblLayout w:type="fixed"/>
      </w:tblPr>
      <w:tblGrid>
        <w:gridCol w:w="1050"/>
        <w:gridCol w:w="1850"/>
        <w:gridCol w:w="4160"/>
        <w:gridCol w:w="2300"/>
      </w:tblGrid>
      <w:tr>
        <w:tc>
          <w:tcPr>
            <w:tcW w:type="dxa" w:w="105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Time</w:t>
            </w:r>
          </w:p>
        </w:tc>
        <w:tc>
          <w:tcPr>
            <w:tcW w:type="dxa" w:w="185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Focus</w:t>
            </w:r>
          </w:p>
        </w:tc>
        <w:tc>
          <w:tcPr>
            <w:tcW w:type="dxa" w:w="416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Facilitator Move</w:t>
            </w:r>
          </w:p>
        </w:tc>
        <w:tc>
          <w:tcPr>
            <w:tcW w:type="dxa" w:w="230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Output</w:t>
            </w:r>
          </w:p>
        </w:tc>
      </w:tr>
      <w:tr>
        <w:tc>
          <w:tcPr>
            <w:tcW w:type="dxa" w:w="10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0-10 min</w:t>
            </w:r>
          </w:p>
        </w:tc>
        <w:tc>
          <w:tcPr>
            <w:tcW w:type="dxa" w:w="185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Opening purpose</w:t>
            </w:r>
          </w:p>
        </w:tc>
        <w:tc>
          <w:tcPr>
            <w:tcW w:type="dxa" w:w="41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Explain why the district is launching the initiative and how it strengthens existing teaching and support.</w:t>
            </w:r>
          </w:p>
        </w:tc>
        <w:tc>
          <w:tcPr>
            <w:tcW w:type="dxa" w:w="230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Staff understand the why.</w:t>
            </w:r>
          </w:p>
        </w:tc>
      </w:tr>
      <w:tr>
        <w:tc>
          <w:tcPr>
            <w:tcW w:type="dxa" w:w="10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10-20 min</w:t>
            </w:r>
          </w:p>
        </w:tc>
        <w:tc>
          <w:tcPr>
            <w:tcW w:type="dxa" w:w="185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District launch direction</w:t>
            </w:r>
          </w:p>
        </w:tc>
        <w:tc>
          <w:tcPr>
            <w:tcW w:type="dxa" w:w="41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Share the selected domain, grade bands, first-cycle timeline, and district support contact.</w:t>
            </w:r>
          </w:p>
        </w:tc>
        <w:tc>
          <w:tcPr>
            <w:tcW w:type="dxa" w:w="230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Staff know the starting point.</w:t>
            </w:r>
          </w:p>
        </w:tc>
      </w:tr>
      <w:tr>
        <w:tc>
          <w:tcPr>
            <w:tcW w:type="dxa" w:w="10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20-35 min</w:t>
            </w:r>
          </w:p>
        </w:tc>
        <w:tc>
          <w:tcPr>
            <w:tcW w:type="dxa" w:w="185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Review the selected BIG</w:t>
            </w:r>
          </w:p>
        </w:tc>
        <w:tc>
          <w:tcPr>
            <w:tcW w:type="dxa" w:w="41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Preview the relevant grade-band section and point staff to examples, resources, and planning prompts.</w:t>
            </w:r>
          </w:p>
        </w:tc>
        <w:tc>
          <w:tcPr>
            <w:tcW w:type="dxa" w:w="230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Staff know where to look in the guide.</w:t>
            </w:r>
          </w:p>
        </w:tc>
      </w:tr>
      <w:tr>
        <w:tc>
          <w:tcPr>
            <w:tcW w:type="dxa" w:w="10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35-50 min</w:t>
            </w:r>
          </w:p>
        </w:tc>
        <w:tc>
          <w:tcPr>
            <w:tcW w:type="dxa" w:w="185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Grade-band discussion</w:t>
            </w:r>
          </w:p>
        </w:tc>
        <w:tc>
          <w:tcPr>
            <w:tcW w:type="dxa" w:w="41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Ask teams to identify where the domain already appears in current instruction, advising, routines, or student experiences.</w:t>
            </w:r>
          </w:p>
        </w:tc>
        <w:tc>
          <w:tcPr>
            <w:tcW w:type="dxa" w:w="230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Teams identify existing entry points.</w:t>
            </w:r>
          </w:p>
        </w:tc>
      </w:tr>
      <w:tr>
        <w:tc>
          <w:tcPr>
            <w:tcW w:type="dxa" w:w="10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50-62 min</w:t>
            </w:r>
          </w:p>
        </w:tc>
        <w:tc>
          <w:tcPr>
            <w:tcW w:type="dxa" w:w="185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First action planning</w:t>
            </w:r>
          </w:p>
        </w:tc>
        <w:tc>
          <w:tcPr>
            <w:tcW w:type="dxa" w:w="41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Have teams name one or two realistic first actions that fit current work.</w:t>
            </w:r>
          </w:p>
        </w:tc>
        <w:tc>
          <w:tcPr>
            <w:tcW w:type="dxa" w:w="230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Teams identify manageable first actions.</w:t>
            </w:r>
          </w:p>
        </w:tc>
      </w:tr>
      <w:tr>
        <w:tc>
          <w:tcPr>
            <w:tcW w:type="dxa" w:w="10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62-70 min</w:t>
            </w:r>
          </w:p>
        </w:tc>
        <w:tc>
          <w:tcPr>
            <w:tcW w:type="dxa" w:w="185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Evidence and support</w:t>
            </w:r>
          </w:p>
        </w:tc>
        <w:tc>
          <w:tcPr>
            <w:tcW w:type="dxa" w:w="41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Ask teams what lightweight evidence they can review and what support they may need.</w:t>
            </w:r>
          </w:p>
        </w:tc>
        <w:tc>
          <w:tcPr>
            <w:tcW w:type="dxa" w:w="230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Teams identify evidence and support needs.</w:t>
            </w:r>
          </w:p>
        </w:tc>
      </w:tr>
      <w:tr>
        <w:tc>
          <w:tcPr>
            <w:tcW w:type="dxa" w:w="105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70-75 min</w:t>
            </w:r>
          </w:p>
        </w:tc>
        <w:tc>
          <w:tcPr>
            <w:tcW w:type="dxa" w:w="185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Close and next steps</w:t>
            </w:r>
          </w:p>
        </w:tc>
        <w:tc>
          <w:tcPr>
            <w:tcW w:type="dxa" w:w="41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Name the launch team, next planning date, and how the Quarterly Update will be completed.</w:t>
            </w:r>
          </w:p>
        </w:tc>
        <w:tc>
          <w:tcPr>
            <w:tcW w:type="dxa" w:w="230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Staff leave with next steps.</w:t>
            </w:r>
          </w:p>
        </w:tc>
      </w:tr>
    </w:tbl>
    <w:p>
      <w:pPr>
        <w:spacing w:before="0" w:after="40" w:line="276" w:lineRule="auto"/>
      </w:pPr>
      <w:r>
        <w:rPr>
          <w:rFonts w:ascii="Times New Roman" w:hAnsi="Times New Roman"/>
          <w:b w:val="0"/>
          <w:i w:val="0"/>
          <w:color w:val="0E2243"/>
          <w:sz w:val="22"/>
          <w:spacing w:val="0"/>
        </w:rPr>
      </w:r>
    </w:p>
    <w:p>
      <w:pPr>
        <w:spacing w:before="280" w:after="160" w:line="276" w:lineRule="auto"/>
      </w:pPr>
      <w:r>
        <w:rPr>
          <w:rFonts w:ascii="Times New Roman" w:hAnsi="Times New Roman"/>
          <w:b/>
          <w:i w:val="0"/>
          <w:color w:val="1B4F46"/>
          <w:sz w:val="32"/>
          <w:spacing w:val="0"/>
        </w:rPr>
        <w:t>Discussion Prompts</w:t>
      </w:r>
    </w:p>
    <w:p>
      <w:pPr>
        <w:pStyle w:val="ListBullet"/>
        <w:spacing w:before="0" w:after="80" w:line="276" w:lineRule="auto"/>
        <w:ind w:left="360" w:hanging="216"/>
      </w:pPr>
      <w:r>
        <w:rPr>
          <w:rFonts w:ascii="Times New Roman" w:hAnsi="Times New Roman"/>
          <w:b w:val="0"/>
          <w:i w:val="0"/>
          <w:color w:val="0E2243"/>
          <w:sz w:val="22"/>
          <w:spacing w:val="0"/>
        </w:rPr>
        <w:t>Where do we already help students build this domain through current instruction, advising, support routines, or student experiences?</w:t>
      </w:r>
    </w:p>
    <w:p>
      <w:pPr>
        <w:pStyle w:val="ListBullet"/>
        <w:spacing w:before="0" w:after="80" w:line="276" w:lineRule="auto"/>
        <w:ind w:left="360" w:hanging="216"/>
      </w:pPr>
      <w:r>
        <w:rPr>
          <w:rFonts w:ascii="Times New Roman" w:hAnsi="Times New Roman"/>
          <w:b w:val="0"/>
          <w:i w:val="0"/>
          <w:color w:val="0E2243"/>
          <w:sz w:val="22"/>
          <w:spacing w:val="0"/>
        </w:rPr>
        <w:t>Which grade-band expectations in the Building Implementation Guide feel most relevant for our students right now?</w:t>
      </w:r>
    </w:p>
    <w:p>
      <w:pPr>
        <w:pStyle w:val="ListBullet"/>
        <w:spacing w:before="0" w:after="80" w:line="276" w:lineRule="auto"/>
        <w:ind w:left="360" w:hanging="216"/>
      </w:pPr>
      <w:r>
        <w:rPr>
          <w:rFonts w:ascii="Times New Roman" w:hAnsi="Times New Roman"/>
          <w:b w:val="0"/>
          <w:i w:val="0"/>
          <w:color w:val="0E2243"/>
          <w:sz w:val="22"/>
          <w:spacing w:val="0"/>
        </w:rPr>
        <w:t>What is one practical routine, activity, project, or conversation we could strengthen during the first cycle?</w:t>
      </w:r>
    </w:p>
    <w:p>
      <w:pPr>
        <w:pStyle w:val="ListBullet"/>
        <w:spacing w:before="0" w:after="80" w:line="276" w:lineRule="auto"/>
        <w:ind w:left="360" w:hanging="216"/>
      </w:pPr>
      <w:r>
        <w:rPr>
          <w:rFonts w:ascii="Times New Roman" w:hAnsi="Times New Roman"/>
          <w:b w:val="0"/>
          <w:i w:val="0"/>
          <w:color w:val="0E2243"/>
          <w:sz w:val="22"/>
          <w:spacing w:val="0"/>
        </w:rPr>
        <w:t>What evidence could we review without creating a paperwork burden?</w:t>
      </w:r>
    </w:p>
    <w:p>
      <w:pPr>
        <w:pStyle w:val="ListBullet"/>
        <w:spacing w:before="0" w:after="80" w:line="276" w:lineRule="auto"/>
        <w:ind w:left="360" w:hanging="216"/>
      </w:pPr>
      <w:r>
        <w:rPr>
          <w:rFonts w:ascii="Times New Roman" w:hAnsi="Times New Roman"/>
          <w:b w:val="0"/>
          <w:i w:val="0"/>
          <w:color w:val="0E2243"/>
          <w:sz w:val="22"/>
          <w:spacing w:val="0"/>
        </w:rPr>
        <w:t>What support do we need from the district before or during implementation?</w:t>
      </w:r>
    </w:p>
    <w:p>
      <w:pPr>
        <w:spacing w:before="280" w:after="160" w:line="276" w:lineRule="auto"/>
      </w:pPr>
      <w:r>
        <w:rPr>
          <w:rFonts w:ascii="Times New Roman" w:hAnsi="Times New Roman"/>
          <w:b/>
          <w:i w:val="0"/>
          <w:color w:val="1B4F46"/>
          <w:sz w:val="32"/>
          <w:spacing w:val="0"/>
        </w:rPr>
        <w:t>Building Decisions to Capture</w:t>
      </w:r>
    </w:p>
    <w:p>
      <w:pPr>
        <w:spacing w:before="100" w:after="60" w:line="276" w:lineRule="auto"/>
      </w:pPr>
      <w:r>
        <w:rPr>
          <w:rFonts w:ascii="Times New Roman" w:hAnsi="Times New Roman"/>
          <w:b/>
          <w:i w:val="0"/>
          <w:color w:val="1B4F46"/>
          <w:sz w:val="24"/>
          <w:spacing w:val="0"/>
        </w:rPr>
        <w:t>Decisions Before Staff Leave</w:t>
      </w:r>
    </w:p>
    <w:tbl>
      <w:tblPr>
        <w:tblW w:type="dxa" w:w="9360"/>
        <w:tblLook w:firstColumn="1" w:firstRow="1" w:lastColumn="0" w:lastRow="0" w:noHBand="0" w:noVBand="1" w:val="04A0"/>
        <w:tblLayout w:type="fixed"/>
      </w:tblPr>
      <w:tblGrid>
        <w:gridCol w:w="3000"/>
        <w:gridCol w:w="6360"/>
      </w:tblGrid>
      <w:tr>
        <w:tc>
          <w:tcPr>
            <w:tcW w:type="dxa" w:w="300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Decision</w:t>
            </w:r>
          </w:p>
        </w:tc>
        <w:tc>
          <w:tcPr>
            <w:tcW w:type="dxa" w:w="636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Building Response</w:t>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Building launch team members</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Grade bands included in the first cycle</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First action or routine to strengthen</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Staff or team responsible</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Lightweight evidence to review</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District support needed</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Next internal planning or review date</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r>
          </w:p>
        </w:tc>
      </w:tr>
    </w:tbl>
    <w:p>
      <w:pPr>
        <w:spacing w:before="0" w:after="40" w:line="276" w:lineRule="auto"/>
      </w:pPr>
      <w:r>
        <w:rPr>
          <w:rFonts w:ascii="Times New Roman" w:hAnsi="Times New Roman"/>
          <w:b w:val="0"/>
          <w:i w:val="0"/>
          <w:color w:val="0E2243"/>
          <w:sz w:val="22"/>
          <w:spacing w:val="0"/>
        </w:rPr>
      </w:r>
    </w:p>
    <w:p>
      <w:pPr>
        <w:spacing w:before="280" w:after="160" w:line="276" w:lineRule="auto"/>
      </w:pPr>
      <w:r>
        <w:rPr>
          <w:rFonts w:ascii="Times New Roman" w:hAnsi="Times New Roman"/>
          <w:b/>
          <w:i w:val="0"/>
          <w:color w:val="1B4F46"/>
          <w:sz w:val="32"/>
          <w:spacing w:val="0"/>
        </w:rPr>
        <w:t>Quarterly Update Connection</w:t>
      </w:r>
    </w:p>
    <w:p>
      <w:pPr>
        <w:spacing w:before="0" w:after="120" w:line="276" w:lineRule="auto"/>
      </w:pPr>
      <w:r>
        <w:rPr>
          <w:rFonts w:ascii="Times New Roman" w:hAnsi="Times New Roman"/>
          <w:b w:val="0"/>
          <w:i w:val="0"/>
          <w:color w:val="0E2243"/>
          <w:sz w:val="22"/>
          <w:spacing w:val="0"/>
        </w:rPr>
        <w:t>The meeting should end by connecting the first-cycle work to the Quarterly Building Implementation Update. Buildings do not need to create a separate report. They will use the update form to summarize what was implemented, what evidence was reviewed, what changed for students and adults, what barriers remain, and what district support is needed next.</w:t>
      </w:r>
    </w:p>
    <w:p>
      <w:pPr>
        <w:spacing w:before="100" w:after="60" w:line="276" w:lineRule="auto"/>
      </w:pPr>
      <w:r>
        <w:rPr>
          <w:rFonts w:ascii="Times New Roman" w:hAnsi="Times New Roman"/>
          <w:b/>
          <w:i w:val="0"/>
          <w:color w:val="1B4F46"/>
          <w:sz w:val="24"/>
          <w:spacing w:val="0"/>
        </w:rPr>
        <w:t>How Meeting Decisions Connect to the Quarterly Update</w:t>
      </w:r>
    </w:p>
    <w:tbl>
      <w:tblPr>
        <w:tblW w:type="dxa" w:w="9360"/>
        <w:tblLook w:firstColumn="1" w:firstRow="1" w:lastColumn="0" w:lastRow="0" w:noHBand="0" w:noVBand="1" w:val="04A0"/>
        <w:tblLayout w:type="fixed"/>
      </w:tblPr>
      <w:tblGrid>
        <w:gridCol w:w="3000"/>
        <w:gridCol w:w="6360"/>
      </w:tblGrid>
      <w:tr>
        <w:tc>
          <w:tcPr>
            <w:tcW w:type="dxa" w:w="300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Meeting Decision</w:t>
            </w:r>
          </w:p>
        </w:tc>
        <w:tc>
          <w:tcPr>
            <w:tcW w:type="dxa" w:w="6360"/>
            <w:shd w:fill="1B4F46"/>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jc w:val="center"/>
            </w:pPr>
            <w:r>
              <w:rPr>
                <w:rFonts w:ascii="Times New Roman" w:hAnsi="Times New Roman"/>
                <w:b/>
                <w:i w:val="0"/>
                <w:color w:val="FFFFFF"/>
                <w:sz w:val="21"/>
                <w:spacing w:val="0"/>
              </w:rPr>
              <w:t>Quarterly Update Connection</w:t>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First action or routine</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Primary Implementation Activity and Implementation Progress</w:t>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Evidence to review</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Evidence Types Reviewed and Overall Evidence Pattern</w:t>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Student or adult change noticed</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Primary Student Change Observed and Primary Adult Practice Change</w:t>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Support needed</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Primary District Support Needed and Specific Support Requested</w:t>
            </w:r>
          </w:p>
        </w:tc>
      </w:tr>
      <w:tr>
        <w:tc>
          <w:tcPr>
            <w:tcW w:type="dxa" w:w="3000"/>
            <w:shd w:fill="F2F7F5"/>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i w:val="0"/>
                <w:color w:val="0E2243"/>
                <w:sz w:val="21"/>
                <w:spacing w:val="0"/>
              </w:rPr>
              <w:t>Next internal date</w:t>
            </w:r>
          </w:p>
        </w:tc>
        <w:tc>
          <w:tcPr>
            <w:tcW w:type="dxa" w:w="6360"/>
            <w:tcBorders>
              <w:top w:val="single" w:sz="6" w:space="0" w:color="D5DBE5"/>
              <w:left w:val="single" w:sz="6" w:space="0" w:color="D5DBE5"/>
              <w:bottom w:val="single" w:sz="6" w:space="0" w:color="D5DBE5"/>
              <w:right w:val="single" w:sz="6" w:space="0" w:color="D5DBE5"/>
            </w:tcBorders>
            <w:tcMar>
              <w:top w:w="100" w:type="dxa"/>
              <w:start w:w="130" w:type="dxa"/>
              <w:bottom w:w="100" w:type="dxa"/>
              <w:end w:w="130" w:type="dxa"/>
            </w:tcMar>
            <w:vAlign w:val="center"/>
          </w:tcPr>
          <w:p>
            <w:pPr>
              <w:spacing w:before="0" w:after="40" w:line="259" w:lineRule="auto"/>
            </w:pPr>
            <w:r>
              <w:rPr>
                <w:rFonts w:ascii="Times New Roman" w:hAnsi="Times New Roman"/>
                <w:b w:val="0"/>
                <w:i w:val="0"/>
                <w:color w:val="0E2243"/>
                <w:sz w:val="21"/>
                <w:spacing w:val="0"/>
              </w:rPr>
              <w:t>Next Internal Review Date and Next Quarter Focus</w:t>
            </w:r>
          </w:p>
        </w:tc>
      </w:tr>
    </w:tbl>
    <w:p>
      <w:pPr>
        <w:spacing w:before="0" w:after="40" w:line="276" w:lineRule="auto"/>
      </w:pPr>
      <w:r>
        <w:rPr>
          <w:rFonts w:ascii="Times New Roman" w:hAnsi="Times New Roman"/>
          <w:b w:val="0"/>
          <w:i w:val="0"/>
          <w:color w:val="0E2243"/>
          <w:sz w:val="22"/>
          <w:spacing w:val="0"/>
        </w:rPr>
      </w:r>
    </w:p>
    <w:p>
      <w:pPr>
        <w:spacing w:before="280" w:after="160" w:line="276" w:lineRule="auto"/>
      </w:pPr>
      <w:r>
        <w:rPr>
          <w:rFonts w:ascii="Times New Roman" w:hAnsi="Times New Roman"/>
          <w:b/>
          <w:i w:val="0"/>
          <w:color w:val="1B4F46"/>
          <w:sz w:val="32"/>
          <w:spacing w:val="0"/>
        </w:rPr>
        <w:t>After the Meeting</w:t>
      </w:r>
    </w:p>
    <w:p>
      <w:pPr>
        <w:pStyle w:val="ListBullet"/>
        <w:spacing w:before="0" w:after="80" w:line="276" w:lineRule="auto"/>
        <w:ind w:left="360" w:hanging="216"/>
      </w:pPr>
      <w:r>
        <w:rPr>
          <w:rFonts w:ascii="Times New Roman" w:hAnsi="Times New Roman"/>
          <w:b w:val="0"/>
          <w:i w:val="0"/>
          <w:color w:val="0E2243"/>
          <w:sz w:val="22"/>
          <w:spacing w:val="0"/>
        </w:rPr>
        <w:t>Share a short summary of the selected first actions and responsible staff.</w:t>
      </w:r>
    </w:p>
    <w:p>
      <w:pPr>
        <w:pStyle w:val="ListBullet"/>
        <w:spacing w:before="0" w:after="80" w:line="276" w:lineRule="auto"/>
        <w:ind w:left="360" w:hanging="216"/>
      </w:pPr>
      <w:r>
        <w:rPr>
          <w:rFonts w:ascii="Times New Roman" w:hAnsi="Times New Roman"/>
          <w:b w:val="0"/>
          <w:i w:val="0"/>
          <w:color w:val="0E2243"/>
          <w:sz w:val="22"/>
          <w:spacing w:val="0"/>
        </w:rPr>
        <w:t>Schedule the next internal planning or evidence review date.</w:t>
      </w:r>
    </w:p>
    <w:p>
      <w:pPr>
        <w:pStyle w:val="ListBullet"/>
        <w:spacing w:before="0" w:after="80" w:line="276" w:lineRule="auto"/>
        <w:ind w:left="360" w:hanging="216"/>
      </w:pPr>
      <w:r>
        <w:rPr>
          <w:rFonts w:ascii="Times New Roman" w:hAnsi="Times New Roman"/>
          <w:b w:val="0"/>
          <w:i w:val="0"/>
          <w:color w:val="0E2243"/>
          <w:sz w:val="22"/>
          <w:spacing w:val="0"/>
        </w:rPr>
        <w:t>Confirm what support request, if any, should be sent to the district support contact.</w:t>
      </w:r>
    </w:p>
    <w:p>
      <w:pPr>
        <w:pStyle w:val="ListBullet"/>
        <w:spacing w:before="0" w:after="80" w:line="276" w:lineRule="auto"/>
        <w:ind w:left="360" w:hanging="216"/>
      </w:pPr>
      <w:r>
        <w:rPr>
          <w:rFonts w:ascii="Times New Roman" w:hAnsi="Times New Roman"/>
          <w:b w:val="0"/>
          <w:i w:val="0"/>
          <w:color w:val="0E2243"/>
          <w:sz w:val="22"/>
          <w:spacing w:val="0"/>
        </w:rPr>
        <w:t>Begin implementation within existing instruction, advising, support routines, or student experiences.</w:t>
      </w:r>
    </w:p>
    <w:p>
      <w:pPr>
        <w:pStyle w:val="ListBullet"/>
        <w:spacing w:before="0" w:after="80" w:line="276" w:lineRule="auto"/>
        <w:ind w:left="360" w:hanging="216"/>
      </w:pPr>
      <w:r>
        <w:rPr>
          <w:rFonts w:ascii="Times New Roman" w:hAnsi="Times New Roman"/>
          <w:b w:val="0"/>
          <w:i w:val="0"/>
          <w:color w:val="0E2243"/>
          <w:sz w:val="22"/>
          <w:spacing w:val="0"/>
        </w:rPr>
        <w:t>Use the Quarterly Building Implementation Update at the end of the cycle.</w:t>
      </w:r>
    </w:p>
    <w:sectPr w:rsidR="00FC693F" w:rsidRPr="0006063C" w:rsidSect="00034616">
      <w:pgSz w:w="12240" w:h="15840"/>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olor w:val="0E224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Times New Roman" w:hAnsi="Times New Roman"/>
      <w:color w:val="0E2243"/>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Times New Roman" w:hAnsi="Times New Roman"/>
      <w:color w:val="0E2243"/>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